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6106fa9ebb7416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סדרי הדין בעניני בוררות, תשכ"ט-1968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פרשנות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סדר הדין האזרחי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השיפוט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הדין לבקשות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לעיכוב הליכים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עדים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אבעיה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פסק הבוררות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הפסק</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הפסק</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עמודים בבקשות לפי סעיפים 11 ו-29א לחוק</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סדרי הדין בעניני בוררות, תשכ"ט-1968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46 לחוק בתי המשפט, תשי"ז-1957, ושאר הסמכויות הנתונות לי 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פרשנות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"החוק" – חוק הבוררות, 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האזרחי" – תקנות סדר הדין האזרחי, התשע"ט-2018;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שאר המונחים שבתקנות אלה משמעותם כמשמעות הנודעת להם בחוק ובתקנות סדר הדין האזרחי, אם אין כוונה אחרת משתמעת.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סדר הדין האזרחי</w:t>
                </w:r>
              </w:p>
            </w:txbxContent>
          </v:textbox>
        </v:rect>
      </w:pict>
      <w:r>
        <w:rPr>
          <w:lang w:bidi="he-IL"/>
          <w:rFonts w:hint="cs" w:cs="FrankRuehl"/>
          <w:szCs w:val="34"/>
          <w:rtl/>
        </w:rPr>
        <w:t xml:space="preserve">2.</w:t>
      </w:r>
      <w:r>
        <w:rPr>
          <w:lang w:bidi="he-IL"/>
          <w:rFonts w:hint="cs" w:cs="FrankRuehl"/>
          <w:szCs w:val="26"/>
          <w:rtl/>
        </w:rPr>
        <w:tab/>
        <w:t xml:space="preserve">תקנות סדר הדין האזרחי יחולו על סדרי הדין בבית המשפט בעניני בוררות, במידה שאין בתקנות אלה הוראות אחרות.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השיפוט</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לפי החוק, למעט בקשה לעיכוב הליכים, תוגש לבית המשפט של אחד המקומות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מקום מגוריו או מקום עסקו של המשיב או של אחד המשיבים;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המקום שבו התנהלה הבוררות, או נועדה להתנהל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המקום שבו אירע המעשה שעליו מוסבה הבוררות;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בית המשפט שעליו הסכימו בעלי הדין בבוררות.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כאמור בסעיף קטן (א) שבסמכות השיפוט של בית משפט בישראל, ואין מקום שיפוט המתאים לה לפי תקנות אלה או לפי כל דין אחר, יכול שתוגש לבית משפט בירושלים שבסמכותו הענינית לדון בה, אולם רשאי בית המשפט בירושלים להורות הוראה אחרת, אם ראה שלפי נסיבות הענין יהיה הדיון בבית משפט אחר נוח יותר לבעלי הדין.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הדין לבקשות</w:t>
                </w:r>
              </w:p>
            </w:txbxContent>
          </v:textbox>
        </v:rect>
      </w:pict>
      <w:r>
        <w:rPr>
          <w:lang w:bidi="he-IL"/>
          <w:rFonts w:hint="cs" w:cs="FrankRuehl"/>
          <w:szCs w:val="34"/>
          <w:rtl/>
        </w:rPr>
        <w:t xml:space="preserve">4.</w:t>
      </w:r>
      <w:r>
        <w:rPr>
          <w:lang w:bidi="he-IL"/>
          <w:rFonts w:hint="cs" w:cs="FrankRuehl"/>
          <w:szCs w:val="26"/>
          <w:rtl/>
        </w:rPr>
        <w:tab/>
        <w:t xml:space="preserve">בקשה לפי החוק, שלא נקבע לה בתקנות אלה סדר דין אחר, תוגש כבקשה בכתב לפי תקנה 54 לתקנות סדר הדין האזרחי; בעל הדין יפרט בבקשה את העובדות המקנות סמכות לבית המשפט.</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לעיכוב הליכים</w:t>
                </w:r>
              </w:p>
            </w:txbxContent>
          </v:textbox>
        </v:rect>
      </w:pict>
      <w:r>
        <w:rPr>
          <w:lang w:bidi="he-IL"/>
          <w:rFonts w:hint="cs" w:cs="FrankRuehl"/>
          <w:szCs w:val="34"/>
          <w:rtl/>
        </w:rPr>
        <w:t xml:space="preserve">5.</w:t>
      </w:r>
      <w:r>
        <w:rPr>
          <w:lang w:bidi="he-IL"/>
          <w:rFonts w:hint="cs" w:cs="FrankRuehl"/>
          <w:szCs w:val="26"/>
          <w:rtl/>
        </w:rPr>
        <w:tab/>
        <w:t xml:space="preserve">בקשה לעיכוב הליכים לפי סעיפים 5(ב) או 6 לחוק תוגש לבית המשפט שבו הוגשה התובענה; לא נכללה הבקשה בכתב ההגנה, תוגש כבקשה בכתב לפי תקנה 54 לתקנות סדר הדין האזרחי.</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עדים</w:t>
                </w:r>
              </w:p>
            </w:txbxContent>
          </v:textbox>
        </v:rect>
      </w:pict>
      <w:r>
        <w:rPr>
          <w:lang w:bidi="he-IL"/>
          <w:rFonts w:hint="cs" w:cs="FrankRuehl"/>
          <w:szCs w:val="34"/>
          <w:rtl/>
        </w:rPr>
        <w:t xml:space="preserve">6.</w:t>
      </w:r>
      <w:r>
        <w:rPr>
          <w:lang w:bidi="he-IL"/>
          <w:rFonts w:hint="cs" w:cs="FrankRuehl"/>
          <w:szCs w:val="26"/>
          <w:rtl/>
        </w:rPr>
        <w:tab/>
        <w:t xml:space="preserve">בקשה להזמנת עד על ידי בית המשפט תהא ערוכה לפי טופס 2 שבתוספת, ויכול שהיא תידון על פי צד אחד.</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אבעיה</w:t>
                </w:r>
              </w:p>
            </w:txbxContent>
          </v:textbox>
        </v:rect>
      </w:pict>
      <w:r>
        <w:rPr>
          <w:lang w:bidi="he-IL"/>
          <w:rFonts w:hint="cs" w:cs="FrankRuehl"/>
          <w:szCs w:val="34"/>
          <w:rtl/>
        </w:rPr>
        <w:t xml:space="preserve">7.</w:t>
      </w:r>
      <w:r>
        <w:rPr>
          <w:lang w:bidi="he-IL"/>
          <w:rFonts w:hint="cs" w:cs="FrankRuehl"/>
          <w:szCs w:val="26"/>
          <w:rtl/>
        </w:rPr>
        <w:tab/>
        <w:t xml:space="preserve">אבעיה תוגש כבקשה בכתב לפי תקנה 54 לתקנות סדר הדין האזרחי; הבורר יחתום עליה והיא תוגש לבית המשפט בצירוף מספר עותקים כמספר המשיבים.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פסק הבוררות</w:t>
                </w:r>
              </w:p>
            </w:txbxContent>
          </v:textbox>
        </v:rect>
      </w:pict>
      <w:r>
        <w:rPr>
          <w:lang w:bidi="he-IL"/>
          <w:rFonts w:hint="cs" w:cs="FrankRuehl"/>
          <w:szCs w:val="34"/>
          <w:rtl/>
        </w:rPr>
        <w:t xml:space="preserve">8.</w:t>
      </w:r>
      <w:r>
        <w:rPr>
          <w:lang w:bidi="he-IL"/>
          <w:rFonts w:hint="cs" w:cs="FrankRuehl"/>
          <w:szCs w:val="26"/>
          <w:rtl/>
        </w:rPr>
        <w:tab/>
        <w:t xml:space="preserve">בעל דין הרוצה באישור פסק בוררות על ידי בית המשפט, יגיש בקשה על כך בצורת הודעה, ערוכה לפי טופס 3 שבתוספת, ויצרף עותק של פסק הבוררות חתום על ידי הבורר ומספר העתקים נוספים כמספר המשיבים לשם המצאה לכל משיב.</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הפסק</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בקשה לבטל פסק בוררות, כולו או חלקו, להשלימו, לתקנו או להחזירו לבורר תוגש כבקשה בכתב לפי תקנה 54 לתקנות סדר הדין האזרחי, ואולם תשובה לבקשה לביטול פסק בוררות תוגש בתוך 45 ימים מהמועד שבו הומצאה לו הבקשה או במועד אחר שהורה עליו בית המשפט; הבקשה תפרט את העילה מבין העילות המנויות בסעיף 24 לחוק שעליה מסתמכת הבקשה והיא תהא מלווה בתצהיר לאימות העובדות הכלולות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כאמור בתקנת משנה (א) והתשובה לה, כל אחת בנפרד, לא יעלו בהיקפן על שמונה עמודים, והתצהירים המצורפים לא יעלו בהיקפם על שישה עמודים.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הפסק</w:t>
                </w:r>
              </w:p>
            </w:txbxContent>
          </v:textbox>
        </v:rect>
      </w:pict>
      <w:r>
        <w:rPr>
          <w:lang w:bidi="he-IL"/>
          <w:rFonts w:hint="cs" w:cs="FrankRuehl"/>
          <w:szCs w:val="34"/>
          <w:rtl/>
        </w:rPr>
        <w:t xml:space="preserve">10.</w:t>
      </w:r>
      <w:r>
        <w:rPr>
          <w:lang w:bidi="he-IL"/>
          <w:rFonts w:hint="cs" w:cs="FrankRuehl"/>
          <w:szCs w:val="26"/>
          <w:rtl/>
        </w:rPr>
        <w:tab/>
        <w:t xml:space="preserve">המשיב רשאי להתנגד לאישור פסק בוררות בדרך בקשה לביטולו, תוך חמישה עשר ימים מיום שהומצאה לו ההודעה האמורה בתקנה 8, ובלבד שלא יאחר מן המועד הקבוע בסעיף 27 לחוק; לא התנגד כאמור, יאשר בית המשפט או הרשם את הפסק ואין צורך לשמוע את בעלי הדין.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עמודים בבקשות לפי סעיפים 11 ו-29א לחוק</w:t>
                </w:r>
              </w:p>
            </w:txbxContent>
          </v:textbox>
        </v:rect>
      </w:pict>
      <w:r>
        <w:rPr>
          <w:lang w:bidi="he-IL"/>
          <w:rFonts w:hint="cs" w:cs="FrankRuehl"/>
          <w:szCs w:val="34"/>
          <w:rtl/>
        </w:rPr>
        <w:t xml:space="preserve">10א.</w:t>
      </w:r>
      <w:r>
        <w:rPr>
          <w:lang w:bidi="he-IL"/>
          <w:rFonts w:hint="cs" w:cs="FrankRuehl"/>
          <w:szCs w:val="26"/>
          <w:rtl/>
        </w:rPr>
        <w:tab/>
        <w:t xml:space="preserve">בקשה להעברת בורר מתפקידו לפי סעיף 11 לחוק ובקשה לאישור או לביטול של פסק בוררות־חוץ לפי סעיף 29א לחוק, והתשובות להן, כל אחת בנפרד, לא יעלו בהיקפן על שמונה עמודים, והתצהירים המצורפים לא יעלו בהיקפם על שישה עמודים.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היא ביום תחילתו של החוק; תקנות אלה לא יחולו על בוררות כאמור בסיפה לסעיף 41 לחוק.</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12.</w:t>
      </w:r>
      <w:r>
        <w:rPr>
          <w:lang w:bidi="he-IL"/>
          <w:rFonts w:hint="cs" w:cs="FrankRuehl"/>
          <w:szCs w:val="26"/>
          <w:rtl/>
        </w:rPr>
        <w:tab/>
        <w:t xml:space="preserve">בתקנות סדר הדין האזרחי, תקנות 326 עד 329 וטופס 31 שבתוספת הראשונה – בטלים.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13.</w:t>
      </w:r>
      <w:r>
        <w:rPr>
          <w:lang w:bidi="he-IL"/>
          <w:rFonts w:hint="cs" w:cs="FrankRuehl"/>
          <w:szCs w:val="26"/>
          <w:rtl/>
        </w:rPr>
        <w:tab/>
        <w:t xml:space="preserve">לתקנות אלה ייקרא "תקנות סדרי הדין בעניני בוררות, תשכ"ט-1968".</w:t>
      </w:r>
    </w:p>
    <w:p>
      <w:pPr>
        <w:bidi/>
        <w:spacing w:before="70" w:after="5" w:line="250" w:lineRule="auto"/>
        <w:jc w:val="center"/>
      </w:pPr>
      <w:defaultTabStop w:val="720"/>
      <w:bookmarkStart w:name="h15" w:id="15"/>
      <w:bookmarkEnd w:id="15"/>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(נמחק)</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6)
</w:t>
      </w:r>
      <w:hyperlink xmlns:r="http://schemas.openxmlformats.org/officeDocument/2006/relationships" w:history="true" r:id="R1e22a5981c554ddf">
        <w:r>
          <w:rPr>
            <w:rStyle w:val="Hyperlink"/>
            <w:u w:val="single"/>
            <w:color w:themeColor="hyperlink"/>
          </w:rPr>
          <w:t>בקשה להזמנת עד לבוררות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8)
</w:t>
      </w:r>
      <w:hyperlink xmlns:r="http://schemas.openxmlformats.org/officeDocument/2006/relationships" w:history="true" r:id="R2b9f48a3ca9a4c0f">
        <w:r>
          <w:rPr>
            <w:rStyle w:val="Hyperlink"/>
            <w:u w:val="single"/>
            <w:color w:themeColor="hyperlink"/>
          </w:rPr>
          <w:t>הודעה על בקשה לאישור פסק בוררות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סדרי הדין בעניני בוררות, תשכ"ט-1968,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722b308d03f41e1" /><Relationship Type="http://schemas.openxmlformats.org/officeDocument/2006/relationships/hyperlink" Target="https://www.nevo.co.il/lawattachments/60c3580f290ec6e2ffe02f85/fd999869-8223-4a42-890d-ad4a74b88578.doc" TargetMode="External" Id="R1e22a5981c554ddf" /><Relationship Type="http://schemas.openxmlformats.org/officeDocument/2006/relationships/hyperlink" Target="https://www.nevo.co.il/lawattachments/60c3580f290ec6e2ffe02f85/b2629316-3ec7-47a5-90a0-d335ff0b6d00.doc" TargetMode="External" Id="R2b9f48a3ca9a4c0f" /><Relationship Type="http://schemas.openxmlformats.org/officeDocument/2006/relationships/header" Target="/word/header1.xml" Id="r97" /><Relationship Type="http://schemas.openxmlformats.org/officeDocument/2006/relationships/footer" Target="/word/footer1.xml" Id="r98" /></Relationships>
</file>