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d1770ab613440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(סוגי מקרים ותנאים שבהתקיימם עובד זר שהוא מסתנן זכאי לקבל את כספי הפיקדון לפני מועד עזיבתו את ישראל שלא לצורך יציאה זמנית),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לקבלת חלק מכספי הפיקדון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הפיקדון החלקי שהעובד זכאי לקבל לפני המועד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לתשלום הפיקדון החלקי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(סוגי מקרים ותנאים שבהתקיימם עובד זר שהוא מסתנן זכאי לקבל את כספי הפיקדון לפני מועד עזיבתו את ישראל שלא לצורך יציאה זמנית),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1יא4(ה) ו-1יא5(ב) לחוק עובדים זרים, התשנ"א-1991 (להלן – החוק), בהסכמת שר האוצר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לקבלת חלק מכספי הפיקדון</w:t>
                </w:r>
              </w:p>
            </w:txbxContent>
          </v:textbox>
        </v:rect>
      </w:pict>
      <w:r>
        <w:rPr>
          <w:lang w:bidi="he-IL"/>
          <w:rFonts w:hint="cs" w:cs="FrankRuehl"/>
          <w:szCs w:val="34"/>
          <w:rtl/>
        </w:rPr>
        <w:t xml:space="preserve">1.</w:t>
      </w:r>
      <w:r>
        <w:rPr>
          <w:lang w:bidi="he-IL"/>
          <w:rFonts w:hint="cs" w:cs="FrankRuehl"/>
          <w:szCs w:val="26"/>
          <w:rtl/>
        </w:rPr>
        <w:tab/>
        <w:t xml:space="preserve">עובד זר שהוא מסתנן ורשות האוכלוסין וההגירה אישרה לגביו בכתב שהוא אחד מהמנויים בפסקאות (1) עד (5) להלן ונכנס לישראל לפני יום תחילתן של תקנות אלה, או שמתקיימת לגביו פסקה (6), זכאי לקבל חלק מכספי הפיקדון כאמור בתקנה 2 אף לפני המועד האמור בסעיף 1יא4(א) לחוק, בדרך האמורה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שגילו עולה על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אב לקטין הנמצא בטיפולו הבלעדי בשל מצבה הרפואי של אם הקטין, או בשל כך שהאם נפטרה או שאינה שוהה בישראל, והוא אינו נשוי לאחר ואין אדם אחר הידוע בציבור כבן זוגו;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 שממונה ביקורת הגבולות שוכנע לגביו כי בשל גילו או מצב בריאותו, לרבות בריאותו הנפשית, אי-קבלת כספי הפיקדון לפני המועד האמור בסעיף 1יא4(א) לחוק עלולה לגרום נזק לבריאותו כאמור, ואין דרך אחרת למנוע את הנזק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מי שמשטרת ישראל הודיעה לגביו כי יש ראיות לכאורה לכך שנעברה לגביו עבירה לפי סעיפים 375א או 377א(א) או (ב)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הפיקדון החלקי שהעובד זכאי לקבל לפני המועד</w:t>
                </w:r>
              </w:p>
            </w:txbxContent>
          </v:textbox>
        </v:rect>
      </w:pict>
      <w:r>
        <w:rPr>
          <w:lang w:bidi="he-IL"/>
          <w:rFonts w:hint="cs" w:cs="FrankRuehl"/>
          <w:szCs w:val="34"/>
          <w:rtl/>
        </w:rPr>
        <w:t xml:space="preserve">2.</w:t>
      </w:r>
      <w:r>
        <w:rPr>
          <w:lang w:bidi="he-IL"/>
          <w:rFonts w:hint="cs" w:cs="FrankRuehl"/>
          <w:szCs w:val="26"/>
          <w:rtl/>
        </w:rPr>
        <w:tab/>
        <w:t xml:space="preserve">החלק מכספי הפיקדון שעובד זר כאמור בתקנה 1 זכאי לקבל לפי התקנה האמורה, הוא חלק השווה ל-70% מחלק העובד כמשמעותו בסעיף 1יא1(א) לחוק (להלן – פיקדון חלקי).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לתשלום הפיקדון החלקי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הפיקדון החלקי ישולם לעובד הזר המסתנן בדרך של אי-ניכויו בידי מעסיקו משכר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האוכלוסין וההגירה תדווח לוועדת העבודה הרווחה והבריאות של הכנסת עד ליום 31 בינואר בכל שנה על מספר העובדים הזרים שלגביהם הופקד בשנה הקודמת הפיקדון בניכוי פיקדון חלקי לפי עילות הזכאות כאמור בתקנה 1.</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ב-1 לחודש שבתום שלושה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(סוגי מקרים ותנאים שבהתקיימם עובד זר שהוא מסתנן זכאי לקבל את כספי הפיקדון לפני מועד עזיבתו את ישראל שלא לצורך יציאה זמנית),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52f0dec4ff2482d" /><Relationship Type="http://schemas.openxmlformats.org/officeDocument/2006/relationships/header" Target="/word/header1.xml" Id="r97" /><Relationship Type="http://schemas.openxmlformats.org/officeDocument/2006/relationships/footer" Target="/word/footer1.xml" Id="r98" /></Relationships>
</file>