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053AF" w:rsidRDefault="002053AF">
      <w:pPr>
        <w:pStyle w:val="big-header"/>
        <w:ind w:left="0" w:right="1134"/>
        <w:rPr>
          <w:rFonts w:cs="FrankRuehl" w:hint="cs"/>
          <w:sz w:val="32"/>
          <w:rtl/>
        </w:rPr>
      </w:pPr>
      <w:r>
        <w:rPr>
          <w:rFonts w:cs="FrankRuehl" w:hint="cs"/>
          <w:sz w:val="32"/>
          <w:rtl/>
        </w:rPr>
        <w:t>יהודה והשומרון</w:t>
      </w:r>
    </w:p>
    <w:p w:rsidR="002053AF" w:rsidRDefault="00960CD6" w:rsidP="00C53523">
      <w:pPr>
        <w:pStyle w:val="big-header"/>
        <w:ind w:left="0" w:right="1134"/>
        <w:rPr>
          <w:rFonts w:cs="FrankRuehl"/>
          <w:sz w:val="32"/>
          <w:rtl/>
        </w:rPr>
      </w:pPr>
      <w:r>
        <w:rPr>
          <w:rFonts w:cs="FrankRuehl" w:hint="cs"/>
          <w:sz w:val="32"/>
          <w:rtl/>
        </w:rPr>
        <w:t xml:space="preserve">מנשר בדבר </w:t>
      </w:r>
      <w:r w:rsidR="00C53523">
        <w:rPr>
          <w:rFonts w:cs="FrankRuehl" w:hint="cs"/>
          <w:sz w:val="32"/>
          <w:rtl/>
        </w:rPr>
        <w:t>יישום הסכם הביניים (יהודה והשומרון) (מס' 7), תשנ"ו-1995</w:t>
      </w:r>
    </w:p>
    <w:p w:rsidR="002053AF" w:rsidRDefault="002053AF">
      <w:pPr>
        <w:pStyle w:val="big-header"/>
        <w:ind w:left="0" w:right="1134"/>
        <w:rPr>
          <w:rFonts w:cs="FrankRuehl" w:hint="cs"/>
          <w:sz w:val="32"/>
          <w:rtl/>
        </w:rPr>
      </w:pPr>
      <w:r>
        <w:rPr>
          <w:rFonts w:cs="FrankRuehl" w:hint="cs"/>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C278D2" w:rsidRPr="00C278D2">
        <w:tblPrEx>
          <w:tblCellMar>
            <w:top w:w="0" w:type="dxa"/>
            <w:bottom w:w="0" w:type="dxa"/>
          </w:tblCellMar>
        </w:tblPrEx>
        <w:tc>
          <w:tcPr>
            <w:tcW w:w="1247" w:type="dxa"/>
          </w:tcPr>
          <w:p w:rsidR="00C278D2" w:rsidRPr="00C278D2" w:rsidRDefault="00C278D2" w:rsidP="00C278D2">
            <w:pPr>
              <w:rPr>
                <w:rFonts w:cs="Frankruhel" w:hint="cs"/>
                <w:rtl/>
              </w:rPr>
            </w:pPr>
            <w:r>
              <w:rPr>
                <w:rtl/>
              </w:rPr>
              <w:t xml:space="preserve">סעיף 1 </w:t>
            </w:r>
          </w:p>
        </w:tc>
        <w:tc>
          <w:tcPr>
            <w:tcW w:w="5669" w:type="dxa"/>
          </w:tcPr>
          <w:p w:rsidR="00C278D2" w:rsidRPr="00C278D2" w:rsidRDefault="00C278D2" w:rsidP="00C278D2">
            <w:pPr>
              <w:rPr>
                <w:rFonts w:cs="Frankruhel" w:hint="cs"/>
                <w:rtl/>
              </w:rPr>
            </w:pPr>
            <w:r>
              <w:rPr>
                <w:rtl/>
              </w:rPr>
              <w:t>הגדרות</w:t>
            </w:r>
          </w:p>
        </w:tc>
        <w:tc>
          <w:tcPr>
            <w:tcW w:w="567" w:type="dxa"/>
          </w:tcPr>
          <w:p w:rsidR="00C278D2" w:rsidRPr="00C278D2" w:rsidRDefault="00C278D2" w:rsidP="00C278D2">
            <w:pPr>
              <w:rPr>
                <w:rStyle w:val="Hyperlink"/>
                <w:rFonts w:hint="cs"/>
                <w:rtl/>
              </w:rPr>
            </w:pPr>
            <w:hyperlink w:anchor="Seif1" w:tooltip="הגדרות" w:history="1">
              <w:r w:rsidRPr="00C278D2">
                <w:rPr>
                  <w:rStyle w:val="Hyperlink"/>
                </w:rPr>
                <w:t>Go</w:t>
              </w:r>
            </w:hyperlink>
          </w:p>
        </w:tc>
        <w:tc>
          <w:tcPr>
            <w:tcW w:w="850" w:type="dxa"/>
          </w:tcPr>
          <w:p w:rsidR="00C278D2" w:rsidRPr="00C278D2" w:rsidRDefault="00C278D2" w:rsidP="00C278D2">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w:instrText>
            </w:r>
            <w:r>
              <w:rPr>
                <w:rtl/>
              </w:rPr>
              <w:instrText xml:space="preserve"> </w:instrText>
            </w:r>
            <w:r>
              <w:rPr>
                <w:rFonts w:cs="Frankruhel"/>
                <w:rtl/>
              </w:rPr>
              <w:fldChar w:fldCharType="separate"/>
            </w:r>
            <w:r>
              <w:rPr>
                <w:noProof/>
                <w:rtl/>
              </w:rPr>
              <w:t>2</w:t>
            </w:r>
            <w:r>
              <w:rPr>
                <w:rFonts w:cs="Frankruhel"/>
                <w:rtl/>
              </w:rPr>
              <w:fldChar w:fldCharType="end"/>
            </w:r>
          </w:p>
        </w:tc>
      </w:tr>
      <w:tr w:rsidR="00C278D2" w:rsidRPr="00C278D2">
        <w:tblPrEx>
          <w:tblCellMar>
            <w:top w:w="0" w:type="dxa"/>
            <w:bottom w:w="0" w:type="dxa"/>
          </w:tblCellMar>
        </w:tblPrEx>
        <w:tc>
          <w:tcPr>
            <w:tcW w:w="1247" w:type="dxa"/>
          </w:tcPr>
          <w:p w:rsidR="00C278D2" w:rsidRPr="00C278D2" w:rsidRDefault="00C278D2" w:rsidP="00C278D2">
            <w:pPr>
              <w:rPr>
                <w:rFonts w:cs="Frankruhel" w:hint="cs"/>
                <w:rtl/>
              </w:rPr>
            </w:pPr>
            <w:r>
              <w:rPr>
                <w:rtl/>
              </w:rPr>
              <w:t xml:space="preserve">סעיף 2 </w:t>
            </w:r>
          </w:p>
        </w:tc>
        <w:tc>
          <w:tcPr>
            <w:tcW w:w="5669" w:type="dxa"/>
          </w:tcPr>
          <w:p w:rsidR="00C278D2" w:rsidRPr="00C278D2" w:rsidRDefault="00C278D2" w:rsidP="00C278D2">
            <w:pPr>
              <w:rPr>
                <w:rFonts w:cs="Frankruhel" w:hint="cs"/>
                <w:rtl/>
              </w:rPr>
            </w:pPr>
            <w:r>
              <w:rPr>
                <w:rtl/>
              </w:rPr>
              <w:t>היערכות מחדש</w:t>
            </w:r>
          </w:p>
        </w:tc>
        <w:tc>
          <w:tcPr>
            <w:tcW w:w="567" w:type="dxa"/>
          </w:tcPr>
          <w:p w:rsidR="00C278D2" w:rsidRPr="00C278D2" w:rsidRDefault="00C278D2" w:rsidP="00C278D2">
            <w:pPr>
              <w:rPr>
                <w:rStyle w:val="Hyperlink"/>
                <w:rFonts w:hint="cs"/>
                <w:rtl/>
              </w:rPr>
            </w:pPr>
            <w:hyperlink w:anchor="Seif7" w:tooltip="היערכות מחדש" w:history="1">
              <w:r w:rsidRPr="00C278D2">
                <w:rPr>
                  <w:rStyle w:val="Hyperlink"/>
                </w:rPr>
                <w:t>Go</w:t>
              </w:r>
            </w:hyperlink>
          </w:p>
        </w:tc>
        <w:tc>
          <w:tcPr>
            <w:tcW w:w="850" w:type="dxa"/>
          </w:tcPr>
          <w:p w:rsidR="00C278D2" w:rsidRPr="00C278D2" w:rsidRDefault="00C278D2" w:rsidP="00C278D2">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Seif7</w:instrText>
            </w:r>
            <w:r>
              <w:rPr>
                <w:rtl/>
              </w:rPr>
              <w:instrText xml:space="preserve"> </w:instrText>
            </w:r>
            <w:r>
              <w:rPr>
                <w:rFonts w:cs="Frankruhel"/>
                <w:rtl/>
              </w:rPr>
              <w:fldChar w:fldCharType="separate"/>
            </w:r>
            <w:r>
              <w:rPr>
                <w:noProof/>
                <w:rtl/>
              </w:rPr>
              <w:t>2</w:t>
            </w:r>
            <w:r>
              <w:rPr>
                <w:rFonts w:cs="Frankruhel"/>
                <w:rtl/>
              </w:rPr>
              <w:fldChar w:fldCharType="end"/>
            </w:r>
          </w:p>
        </w:tc>
      </w:tr>
      <w:tr w:rsidR="00C278D2" w:rsidRPr="00C278D2">
        <w:tblPrEx>
          <w:tblCellMar>
            <w:top w:w="0" w:type="dxa"/>
            <w:bottom w:w="0" w:type="dxa"/>
          </w:tblCellMar>
        </w:tblPrEx>
        <w:tc>
          <w:tcPr>
            <w:tcW w:w="1247" w:type="dxa"/>
          </w:tcPr>
          <w:p w:rsidR="00C278D2" w:rsidRPr="00C278D2" w:rsidRDefault="00C278D2" w:rsidP="00C278D2">
            <w:pPr>
              <w:rPr>
                <w:rFonts w:cs="Frankruhel" w:hint="cs"/>
                <w:rtl/>
              </w:rPr>
            </w:pPr>
            <w:r>
              <w:rPr>
                <w:rtl/>
              </w:rPr>
              <w:t xml:space="preserve">סעיף 3 </w:t>
            </w:r>
          </w:p>
        </w:tc>
        <w:tc>
          <w:tcPr>
            <w:tcW w:w="5669" w:type="dxa"/>
          </w:tcPr>
          <w:p w:rsidR="00C278D2" w:rsidRPr="00C278D2" w:rsidRDefault="00C278D2" w:rsidP="00C278D2">
            <w:pPr>
              <w:rPr>
                <w:rFonts w:cs="Frankruhel" w:hint="cs"/>
                <w:rtl/>
              </w:rPr>
            </w:pPr>
            <w:r>
              <w:rPr>
                <w:rtl/>
              </w:rPr>
              <w:t>בחירות</w:t>
            </w:r>
          </w:p>
        </w:tc>
        <w:tc>
          <w:tcPr>
            <w:tcW w:w="567" w:type="dxa"/>
          </w:tcPr>
          <w:p w:rsidR="00C278D2" w:rsidRPr="00C278D2" w:rsidRDefault="00C278D2" w:rsidP="00C278D2">
            <w:pPr>
              <w:rPr>
                <w:rStyle w:val="Hyperlink"/>
                <w:rFonts w:hint="cs"/>
                <w:rtl/>
              </w:rPr>
            </w:pPr>
            <w:hyperlink w:anchor="Seif8" w:tooltip="בחירות" w:history="1">
              <w:r w:rsidRPr="00C278D2">
                <w:rPr>
                  <w:rStyle w:val="Hyperlink"/>
                </w:rPr>
                <w:t>Go</w:t>
              </w:r>
            </w:hyperlink>
          </w:p>
        </w:tc>
        <w:tc>
          <w:tcPr>
            <w:tcW w:w="850" w:type="dxa"/>
          </w:tcPr>
          <w:p w:rsidR="00C278D2" w:rsidRPr="00C278D2" w:rsidRDefault="00C278D2" w:rsidP="00C278D2">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Seif8</w:instrText>
            </w:r>
            <w:r>
              <w:rPr>
                <w:rtl/>
              </w:rPr>
              <w:instrText xml:space="preserve"> </w:instrText>
            </w:r>
            <w:r>
              <w:rPr>
                <w:rFonts w:cs="Frankruhel"/>
                <w:rtl/>
              </w:rPr>
              <w:fldChar w:fldCharType="separate"/>
            </w:r>
            <w:r>
              <w:rPr>
                <w:noProof/>
                <w:rtl/>
              </w:rPr>
              <w:t>2</w:t>
            </w:r>
            <w:r>
              <w:rPr>
                <w:rFonts w:cs="Frankruhel"/>
                <w:rtl/>
              </w:rPr>
              <w:fldChar w:fldCharType="end"/>
            </w:r>
          </w:p>
        </w:tc>
      </w:tr>
      <w:tr w:rsidR="00C278D2" w:rsidRPr="00C278D2">
        <w:tblPrEx>
          <w:tblCellMar>
            <w:top w:w="0" w:type="dxa"/>
            <w:bottom w:w="0" w:type="dxa"/>
          </w:tblCellMar>
        </w:tblPrEx>
        <w:tc>
          <w:tcPr>
            <w:tcW w:w="1247" w:type="dxa"/>
          </w:tcPr>
          <w:p w:rsidR="00C278D2" w:rsidRPr="00C278D2" w:rsidRDefault="00C278D2" w:rsidP="00C278D2">
            <w:pPr>
              <w:rPr>
                <w:rFonts w:cs="Frankruhel" w:hint="cs"/>
                <w:rtl/>
              </w:rPr>
            </w:pPr>
            <w:r>
              <w:rPr>
                <w:rtl/>
              </w:rPr>
              <w:t xml:space="preserve">סעיף 4 </w:t>
            </w:r>
          </w:p>
        </w:tc>
        <w:tc>
          <w:tcPr>
            <w:tcW w:w="5669" w:type="dxa"/>
          </w:tcPr>
          <w:p w:rsidR="00C278D2" w:rsidRPr="00C278D2" w:rsidRDefault="00C278D2" w:rsidP="00C278D2">
            <w:pPr>
              <w:rPr>
                <w:rFonts w:cs="Frankruhel" w:hint="cs"/>
                <w:rtl/>
              </w:rPr>
            </w:pPr>
            <w:r>
              <w:rPr>
                <w:rtl/>
              </w:rPr>
              <w:t>העברת סמכות למועצה</w:t>
            </w:r>
          </w:p>
        </w:tc>
        <w:tc>
          <w:tcPr>
            <w:tcW w:w="567" w:type="dxa"/>
          </w:tcPr>
          <w:p w:rsidR="00C278D2" w:rsidRPr="00C278D2" w:rsidRDefault="00C278D2" w:rsidP="00C278D2">
            <w:pPr>
              <w:rPr>
                <w:rStyle w:val="Hyperlink"/>
                <w:rFonts w:hint="cs"/>
                <w:rtl/>
              </w:rPr>
            </w:pPr>
            <w:hyperlink w:anchor="Seif4" w:tooltip="העברת סמכות למועצה" w:history="1">
              <w:r w:rsidRPr="00C278D2">
                <w:rPr>
                  <w:rStyle w:val="Hyperlink"/>
                </w:rPr>
                <w:t>Go</w:t>
              </w:r>
            </w:hyperlink>
          </w:p>
        </w:tc>
        <w:tc>
          <w:tcPr>
            <w:tcW w:w="850" w:type="dxa"/>
          </w:tcPr>
          <w:p w:rsidR="00C278D2" w:rsidRPr="00C278D2" w:rsidRDefault="00C278D2" w:rsidP="00C278D2">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w:instrText>
            </w:r>
            <w:r>
              <w:rPr>
                <w:rtl/>
              </w:rPr>
              <w:instrText xml:space="preserve"> </w:instrText>
            </w:r>
            <w:r>
              <w:rPr>
                <w:rFonts w:cs="Frankruhel"/>
                <w:rtl/>
              </w:rPr>
              <w:fldChar w:fldCharType="separate"/>
            </w:r>
            <w:r>
              <w:rPr>
                <w:noProof/>
                <w:rtl/>
              </w:rPr>
              <w:t>2</w:t>
            </w:r>
            <w:r>
              <w:rPr>
                <w:rFonts w:cs="Frankruhel"/>
                <w:rtl/>
              </w:rPr>
              <w:fldChar w:fldCharType="end"/>
            </w:r>
          </w:p>
        </w:tc>
      </w:tr>
      <w:tr w:rsidR="00C278D2" w:rsidRPr="00C278D2">
        <w:tblPrEx>
          <w:tblCellMar>
            <w:top w:w="0" w:type="dxa"/>
            <w:bottom w:w="0" w:type="dxa"/>
          </w:tblCellMar>
        </w:tblPrEx>
        <w:tc>
          <w:tcPr>
            <w:tcW w:w="1247" w:type="dxa"/>
          </w:tcPr>
          <w:p w:rsidR="00C278D2" w:rsidRPr="00C278D2" w:rsidRDefault="00C278D2" w:rsidP="00C278D2">
            <w:pPr>
              <w:rPr>
                <w:rFonts w:cs="Frankruhel" w:hint="cs"/>
                <w:rtl/>
              </w:rPr>
            </w:pPr>
            <w:r>
              <w:rPr>
                <w:rtl/>
              </w:rPr>
              <w:t xml:space="preserve">סעיף 5 </w:t>
            </w:r>
          </w:p>
        </w:tc>
        <w:tc>
          <w:tcPr>
            <w:tcW w:w="5669" w:type="dxa"/>
          </w:tcPr>
          <w:p w:rsidR="00C278D2" w:rsidRPr="00C278D2" w:rsidRDefault="00C278D2" w:rsidP="00C278D2">
            <w:pPr>
              <w:rPr>
                <w:rFonts w:cs="Frankruhel" w:hint="cs"/>
                <w:rtl/>
              </w:rPr>
            </w:pPr>
            <w:r>
              <w:rPr>
                <w:rtl/>
              </w:rPr>
              <w:t>העברת זכויות וחובות</w:t>
            </w:r>
          </w:p>
        </w:tc>
        <w:tc>
          <w:tcPr>
            <w:tcW w:w="567" w:type="dxa"/>
          </w:tcPr>
          <w:p w:rsidR="00C278D2" w:rsidRPr="00C278D2" w:rsidRDefault="00C278D2" w:rsidP="00C278D2">
            <w:pPr>
              <w:rPr>
                <w:rStyle w:val="Hyperlink"/>
                <w:rFonts w:hint="cs"/>
                <w:rtl/>
              </w:rPr>
            </w:pPr>
            <w:hyperlink w:anchor="Seif5" w:tooltip="העברת זכויות וחובות" w:history="1">
              <w:r w:rsidRPr="00C278D2">
                <w:rPr>
                  <w:rStyle w:val="Hyperlink"/>
                </w:rPr>
                <w:t>Go</w:t>
              </w:r>
            </w:hyperlink>
          </w:p>
        </w:tc>
        <w:tc>
          <w:tcPr>
            <w:tcW w:w="850" w:type="dxa"/>
          </w:tcPr>
          <w:p w:rsidR="00C278D2" w:rsidRPr="00C278D2" w:rsidRDefault="00C278D2" w:rsidP="00C278D2">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w:instrText>
            </w:r>
            <w:r>
              <w:rPr>
                <w:rtl/>
              </w:rPr>
              <w:instrText xml:space="preserve"> </w:instrText>
            </w:r>
            <w:r>
              <w:rPr>
                <w:rFonts w:cs="Frankruhel"/>
                <w:rtl/>
              </w:rPr>
              <w:fldChar w:fldCharType="separate"/>
            </w:r>
            <w:r>
              <w:rPr>
                <w:noProof/>
                <w:rtl/>
              </w:rPr>
              <w:t>2</w:t>
            </w:r>
            <w:r>
              <w:rPr>
                <w:rFonts w:cs="Frankruhel"/>
                <w:rtl/>
              </w:rPr>
              <w:fldChar w:fldCharType="end"/>
            </w:r>
          </w:p>
        </w:tc>
      </w:tr>
      <w:tr w:rsidR="00C278D2" w:rsidRPr="00C278D2">
        <w:tblPrEx>
          <w:tblCellMar>
            <w:top w:w="0" w:type="dxa"/>
            <w:bottom w:w="0" w:type="dxa"/>
          </w:tblCellMar>
        </w:tblPrEx>
        <w:tc>
          <w:tcPr>
            <w:tcW w:w="1247" w:type="dxa"/>
          </w:tcPr>
          <w:p w:rsidR="00C278D2" w:rsidRPr="00C278D2" w:rsidRDefault="00C278D2" w:rsidP="00C278D2">
            <w:pPr>
              <w:rPr>
                <w:rFonts w:cs="Frankruhel" w:hint="cs"/>
                <w:rtl/>
              </w:rPr>
            </w:pPr>
            <w:r>
              <w:rPr>
                <w:rtl/>
              </w:rPr>
              <w:t xml:space="preserve">סעיף 6 </w:t>
            </w:r>
          </w:p>
        </w:tc>
        <w:tc>
          <w:tcPr>
            <w:tcW w:w="5669" w:type="dxa"/>
          </w:tcPr>
          <w:p w:rsidR="00C278D2" w:rsidRPr="00C278D2" w:rsidRDefault="00C278D2" w:rsidP="00C278D2">
            <w:pPr>
              <w:rPr>
                <w:rFonts w:cs="Frankruhel" w:hint="cs"/>
                <w:rtl/>
              </w:rPr>
            </w:pPr>
            <w:r>
              <w:rPr>
                <w:rtl/>
              </w:rPr>
              <w:t>סמכויות מפקד כוחות צה"ל באזור</w:t>
            </w:r>
          </w:p>
        </w:tc>
        <w:tc>
          <w:tcPr>
            <w:tcW w:w="567" w:type="dxa"/>
          </w:tcPr>
          <w:p w:rsidR="00C278D2" w:rsidRPr="00C278D2" w:rsidRDefault="00C278D2" w:rsidP="00C278D2">
            <w:pPr>
              <w:rPr>
                <w:rStyle w:val="Hyperlink"/>
                <w:rFonts w:hint="cs"/>
                <w:rtl/>
              </w:rPr>
            </w:pPr>
            <w:hyperlink w:anchor="Seif6" w:tooltip="סמכויות מפקד כוחות צהל באזור" w:history="1">
              <w:r w:rsidRPr="00C278D2">
                <w:rPr>
                  <w:rStyle w:val="Hyperlink"/>
                </w:rPr>
                <w:t>Go</w:t>
              </w:r>
            </w:hyperlink>
          </w:p>
        </w:tc>
        <w:tc>
          <w:tcPr>
            <w:tcW w:w="850" w:type="dxa"/>
          </w:tcPr>
          <w:p w:rsidR="00C278D2" w:rsidRPr="00C278D2" w:rsidRDefault="00C278D2" w:rsidP="00C278D2">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Seif6</w:instrText>
            </w:r>
            <w:r>
              <w:rPr>
                <w:rtl/>
              </w:rPr>
              <w:instrText xml:space="preserve"> </w:instrText>
            </w:r>
            <w:r>
              <w:rPr>
                <w:rFonts w:cs="Frankruhel"/>
                <w:rtl/>
              </w:rPr>
              <w:fldChar w:fldCharType="separate"/>
            </w:r>
            <w:r>
              <w:rPr>
                <w:noProof/>
                <w:rtl/>
              </w:rPr>
              <w:t>2</w:t>
            </w:r>
            <w:r>
              <w:rPr>
                <w:rFonts w:cs="Frankruhel"/>
                <w:rtl/>
              </w:rPr>
              <w:fldChar w:fldCharType="end"/>
            </w:r>
          </w:p>
        </w:tc>
      </w:tr>
      <w:tr w:rsidR="00C278D2" w:rsidRPr="00C278D2">
        <w:tblPrEx>
          <w:tblCellMar>
            <w:top w:w="0" w:type="dxa"/>
            <w:bottom w:w="0" w:type="dxa"/>
          </w:tblCellMar>
        </w:tblPrEx>
        <w:tc>
          <w:tcPr>
            <w:tcW w:w="1247" w:type="dxa"/>
          </w:tcPr>
          <w:p w:rsidR="00C278D2" w:rsidRPr="00C278D2" w:rsidRDefault="00C278D2" w:rsidP="00C278D2">
            <w:pPr>
              <w:rPr>
                <w:rFonts w:cs="Frankruhel" w:hint="cs"/>
                <w:rtl/>
              </w:rPr>
            </w:pPr>
            <w:r>
              <w:rPr>
                <w:rtl/>
              </w:rPr>
              <w:t xml:space="preserve">סעיף 7 </w:t>
            </w:r>
          </w:p>
        </w:tc>
        <w:tc>
          <w:tcPr>
            <w:tcW w:w="5669" w:type="dxa"/>
          </w:tcPr>
          <w:p w:rsidR="00C278D2" w:rsidRPr="00C278D2" w:rsidRDefault="00C278D2" w:rsidP="00C278D2">
            <w:pPr>
              <w:rPr>
                <w:rFonts w:cs="Frankruhel" w:hint="cs"/>
                <w:rtl/>
              </w:rPr>
            </w:pPr>
            <w:r>
              <w:rPr>
                <w:rtl/>
              </w:rPr>
              <w:t>תוקף המשפט הקיים</w:t>
            </w:r>
          </w:p>
        </w:tc>
        <w:tc>
          <w:tcPr>
            <w:tcW w:w="567" w:type="dxa"/>
          </w:tcPr>
          <w:p w:rsidR="00C278D2" w:rsidRPr="00C278D2" w:rsidRDefault="00C278D2" w:rsidP="00C278D2">
            <w:pPr>
              <w:rPr>
                <w:rStyle w:val="Hyperlink"/>
                <w:rFonts w:hint="cs"/>
                <w:rtl/>
              </w:rPr>
            </w:pPr>
            <w:hyperlink w:anchor="Seif2" w:tooltip="תוקף המשפט הקיים" w:history="1">
              <w:r w:rsidRPr="00C278D2">
                <w:rPr>
                  <w:rStyle w:val="Hyperlink"/>
                </w:rPr>
                <w:t>Go</w:t>
              </w:r>
            </w:hyperlink>
          </w:p>
        </w:tc>
        <w:tc>
          <w:tcPr>
            <w:tcW w:w="850" w:type="dxa"/>
          </w:tcPr>
          <w:p w:rsidR="00C278D2" w:rsidRPr="00C278D2" w:rsidRDefault="00C278D2" w:rsidP="00C278D2">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w:instrText>
            </w:r>
            <w:r>
              <w:rPr>
                <w:rtl/>
              </w:rPr>
              <w:instrText xml:space="preserve"> </w:instrText>
            </w:r>
            <w:r>
              <w:rPr>
                <w:rFonts w:cs="Frankruhel"/>
                <w:rtl/>
              </w:rPr>
              <w:fldChar w:fldCharType="separate"/>
            </w:r>
            <w:r>
              <w:rPr>
                <w:noProof/>
                <w:rtl/>
              </w:rPr>
              <w:t>2</w:t>
            </w:r>
            <w:r>
              <w:rPr>
                <w:rFonts w:cs="Frankruhel"/>
                <w:rtl/>
              </w:rPr>
              <w:fldChar w:fldCharType="end"/>
            </w:r>
          </w:p>
        </w:tc>
      </w:tr>
      <w:tr w:rsidR="00C278D2" w:rsidRPr="00C278D2">
        <w:tblPrEx>
          <w:tblCellMar>
            <w:top w:w="0" w:type="dxa"/>
            <w:bottom w:w="0" w:type="dxa"/>
          </w:tblCellMar>
        </w:tblPrEx>
        <w:tc>
          <w:tcPr>
            <w:tcW w:w="1247" w:type="dxa"/>
          </w:tcPr>
          <w:p w:rsidR="00C278D2" w:rsidRPr="00C278D2" w:rsidRDefault="00C278D2" w:rsidP="00C278D2">
            <w:pPr>
              <w:rPr>
                <w:rFonts w:cs="Frankruhel" w:hint="cs"/>
                <w:rtl/>
              </w:rPr>
            </w:pPr>
            <w:r>
              <w:rPr>
                <w:rtl/>
              </w:rPr>
              <w:t xml:space="preserve">סעיף 8 </w:t>
            </w:r>
          </w:p>
        </w:tc>
        <w:tc>
          <w:tcPr>
            <w:tcW w:w="5669" w:type="dxa"/>
          </w:tcPr>
          <w:p w:rsidR="00C278D2" w:rsidRPr="00C278D2" w:rsidRDefault="00C278D2" w:rsidP="00C278D2">
            <w:pPr>
              <w:rPr>
                <w:rFonts w:cs="Frankruhel" w:hint="cs"/>
                <w:rtl/>
              </w:rPr>
            </w:pPr>
            <w:r>
              <w:rPr>
                <w:rtl/>
              </w:rPr>
              <w:t>ביטול</w:t>
            </w:r>
          </w:p>
        </w:tc>
        <w:tc>
          <w:tcPr>
            <w:tcW w:w="567" w:type="dxa"/>
          </w:tcPr>
          <w:p w:rsidR="00C278D2" w:rsidRPr="00C278D2" w:rsidRDefault="00C278D2" w:rsidP="00C278D2">
            <w:pPr>
              <w:rPr>
                <w:rStyle w:val="Hyperlink"/>
                <w:rFonts w:hint="cs"/>
                <w:rtl/>
              </w:rPr>
            </w:pPr>
            <w:hyperlink w:anchor="Seif3" w:tooltip="ביטול" w:history="1">
              <w:r w:rsidRPr="00C278D2">
                <w:rPr>
                  <w:rStyle w:val="Hyperlink"/>
                </w:rPr>
                <w:t>Go</w:t>
              </w:r>
            </w:hyperlink>
          </w:p>
        </w:tc>
        <w:tc>
          <w:tcPr>
            <w:tcW w:w="850" w:type="dxa"/>
          </w:tcPr>
          <w:p w:rsidR="00C278D2" w:rsidRPr="00C278D2" w:rsidRDefault="00C278D2" w:rsidP="00C278D2">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w:instrText>
            </w:r>
            <w:r>
              <w:rPr>
                <w:rtl/>
              </w:rPr>
              <w:instrText xml:space="preserve"> </w:instrText>
            </w:r>
            <w:r>
              <w:rPr>
                <w:rFonts w:cs="Frankruhel"/>
                <w:rtl/>
              </w:rPr>
              <w:fldChar w:fldCharType="separate"/>
            </w:r>
            <w:r>
              <w:rPr>
                <w:noProof/>
                <w:rtl/>
              </w:rPr>
              <w:t>3</w:t>
            </w:r>
            <w:r>
              <w:rPr>
                <w:rFonts w:cs="Frankruhel"/>
                <w:rtl/>
              </w:rPr>
              <w:fldChar w:fldCharType="end"/>
            </w:r>
          </w:p>
        </w:tc>
      </w:tr>
      <w:tr w:rsidR="00C278D2" w:rsidRPr="00C278D2">
        <w:tblPrEx>
          <w:tblCellMar>
            <w:top w:w="0" w:type="dxa"/>
            <w:bottom w:w="0" w:type="dxa"/>
          </w:tblCellMar>
        </w:tblPrEx>
        <w:tc>
          <w:tcPr>
            <w:tcW w:w="1247" w:type="dxa"/>
          </w:tcPr>
          <w:p w:rsidR="00C278D2" w:rsidRPr="00C278D2" w:rsidRDefault="00C278D2" w:rsidP="00C278D2">
            <w:pPr>
              <w:rPr>
                <w:rFonts w:cs="Frankruhel" w:hint="cs"/>
                <w:rtl/>
              </w:rPr>
            </w:pPr>
            <w:r>
              <w:rPr>
                <w:rtl/>
              </w:rPr>
              <w:t xml:space="preserve">סעיף 9 </w:t>
            </w:r>
          </w:p>
        </w:tc>
        <w:tc>
          <w:tcPr>
            <w:tcW w:w="5669" w:type="dxa"/>
          </w:tcPr>
          <w:p w:rsidR="00C278D2" w:rsidRPr="00C278D2" w:rsidRDefault="00C278D2" w:rsidP="00C278D2">
            <w:pPr>
              <w:rPr>
                <w:rFonts w:cs="Frankruhel" w:hint="cs"/>
                <w:rtl/>
              </w:rPr>
            </w:pPr>
            <w:r>
              <w:rPr>
                <w:rtl/>
              </w:rPr>
              <w:t>תחילת תוקף</w:t>
            </w:r>
          </w:p>
        </w:tc>
        <w:tc>
          <w:tcPr>
            <w:tcW w:w="567" w:type="dxa"/>
          </w:tcPr>
          <w:p w:rsidR="00C278D2" w:rsidRPr="00C278D2" w:rsidRDefault="00C278D2" w:rsidP="00C278D2">
            <w:pPr>
              <w:rPr>
                <w:rStyle w:val="Hyperlink"/>
                <w:rFonts w:hint="cs"/>
                <w:rtl/>
              </w:rPr>
            </w:pPr>
            <w:hyperlink w:anchor="Seif9" w:tooltip="תחילת תוקף" w:history="1">
              <w:r w:rsidRPr="00C278D2">
                <w:rPr>
                  <w:rStyle w:val="Hyperlink"/>
                </w:rPr>
                <w:t>Go</w:t>
              </w:r>
            </w:hyperlink>
          </w:p>
        </w:tc>
        <w:tc>
          <w:tcPr>
            <w:tcW w:w="850" w:type="dxa"/>
          </w:tcPr>
          <w:p w:rsidR="00C278D2" w:rsidRPr="00C278D2" w:rsidRDefault="00C278D2" w:rsidP="00C278D2">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Seif9</w:instrText>
            </w:r>
            <w:r>
              <w:rPr>
                <w:rtl/>
              </w:rPr>
              <w:instrText xml:space="preserve"> </w:instrText>
            </w:r>
            <w:r>
              <w:rPr>
                <w:rFonts w:cs="Frankruhel"/>
                <w:rtl/>
              </w:rPr>
              <w:fldChar w:fldCharType="separate"/>
            </w:r>
            <w:r>
              <w:rPr>
                <w:noProof/>
                <w:rtl/>
              </w:rPr>
              <w:t>3</w:t>
            </w:r>
            <w:r>
              <w:rPr>
                <w:rFonts w:cs="Frankruhel"/>
                <w:rtl/>
              </w:rPr>
              <w:fldChar w:fldCharType="end"/>
            </w:r>
          </w:p>
        </w:tc>
      </w:tr>
      <w:tr w:rsidR="00C278D2" w:rsidRPr="00C278D2">
        <w:tblPrEx>
          <w:tblCellMar>
            <w:top w:w="0" w:type="dxa"/>
            <w:bottom w:w="0" w:type="dxa"/>
          </w:tblCellMar>
        </w:tblPrEx>
        <w:tc>
          <w:tcPr>
            <w:tcW w:w="1247" w:type="dxa"/>
          </w:tcPr>
          <w:p w:rsidR="00C278D2" w:rsidRPr="00C278D2" w:rsidRDefault="00C278D2" w:rsidP="00C278D2">
            <w:pPr>
              <w:rPr>
                <w:rFonts w:cs="Frankruhel" w:hint="cs"/>
                <w:rtl/>
              </w:rPr>
            </w:pPr>
            <w:r>
              <w:rPr>
                <w:rtl/>
              </w:rPr>
              <w:t xml:space="preserve">סעיף 10 </w:t>
            </w:r>
          </w:p>
        </w:tc>
        <w:tc>
          <w:tcPr>
            <w:tcW w:w="5669" w:type="dxa"/>
          </w:tcPr>
          <w:p w:rsidR="00C278D2" w:rsidRPr="00C278D2" w:rsidRDefault="00C278D2" w:rsidP="00C278D2">
            <w:pPr>
              <w:rPr>
                <w:rFonts w:cs="Frankruhel" w:hint="cs"/>
                <w:rtl/>
              </w:rPr>
            </w:pPr>
            <w:r>
              <w:rPr>
                <w:rtl/>
              </w:rPr>
              <w:t>השם</w:t>
            </w:r>
          </w:p>
        </w:tc>
        <w:tc>
          <w:tcPr>
            <w:tcW w:w="567" w:type="dxa"/>
          </w:tcPr>
          <w:p w:rsidR="00C278D2" w:rsidRPr="00C278D2" w:rsidRDefault="00C278D2" w:rsidP="00C278D2">
            <w:pPr>
              <w:rPr>
                <w:rStyle w:val="Hyperlink"/>
                <w:rFonts w:hint="cs"/>
                <w:rtl/>
              </w:rPr>
            </w:pPr>
            <w:hyperlink w:anchor="Seif10" w:tooltip="השם" w:history="1">
              <w:r w:rsidRPr="00C278D2">
                <w:rPr>
                  <w:rStyle w:val="Hyperlink"/>
                </w:rPr>
                <w:t>Go</w:t>
              </w:r>
            </w:hyperlink>
          </w:p>
        </w:tc>
        <w:tc>
          <w:tcPr>
            <w:tcW w:w="850" w:type="dxa"/>
          </w:tcPr>
          <w:p w:rsidR="00C278D2" w:rsidRPr="00C278D2" w:rsidRDefault="00C278D2" w:rsidP="00C278D2">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Seif10</w:instrText>
            </w:r>
            <w:r>
              <w:rPr>
                <w:rtl/>
              </w:rPr>
              <w:instrText xml:space="preserve"> </w:instrText>
            </w:r>
            <w:r>
              <w:rPr>
                <w:rFonts w:cs="Frankruhel"/>
                <w:rtl/>
              </w:rPr>
              <w:fldChar w:fldCharType="separate"/>
            </w:r>
            <w:r>
              <w:rPr>
                <w:noProof/>
                <w:rtl/>
              </w:rPr>
              <w:t>3</w:t>
            </w:r>
            <w:r>
              <w:rPr>
                <w:rFonts w:cs="Frankruhel"/>
                <w:rtl/>
              </w:rPr>
              <w:fldChar w:fldCharType="end"/>
            </w:r>
          </w:p>
        </w:tc>
      </w:tr>
    </w:tbl>
    <w:p w:rsidR="002053AF" w:rsidRDefault="002053AF">
      <w:pPr>
        <w:pStyle w:val="big-header"/>
        <w:ind w:left="0" w:right="1134"/>
        <w:rPr>
          <w:rFonts w:cs="FrankRuehl" w:hint="cs"/>
          <w:sz w:val="32"/>
          <w:rtl/>
        </w:rPr>
      </w:pPr>
    </w:p>
    <w:p w:rsidR="00C71695" w:rsidRDefault="002053AF" w:rsidP="00C71695">
      <w:pPr>
        <w:pStyle w:val="big-header"/>
        <w:ind w:left="0" w:right="1134"/>
        <w:rPr>
          <w:rFonts w:cs="FrankRuehl" w:hint="cs"/>
          <w:sz w:val="32"/>
          <w:rtl/>
        </w:rPr>
      </w:pPr>
      <w:r>
        <w:rPr>
          <w:rFonts w:cs="FrankRuehl"/>
          <w:sz w:val="32"/>
          <w:rtl/>
        </w:rPr>
        <w:br w:type="page"/>
      </w:r>
      <w:r w:rsidR="00C71695">
        <w:rPr>
          <w:rFonts w:cs="FrankRuehl" w:hint="cs"/>
          <w:sz w:val="32"/>
          <w:rtl/>
        </w:rPr>
        <w:lastRenderedPageBreak/>
        <w:t>יהודה והשומרון</w:t>
      </w:r>
    </w:p>
    <w:p w:rsidR="002053AF" w:rsidRDefault="00C53523" w:rsidP="00C71695">
      <w:pPr>
        <w:pStyle w:val="big-header"/>
        <w:ind w:left="0" w:right="1134"/>
        <w:rPr>
          <w:rStyle w:val="default"/>
          <w:rFonts w:hint="cs"/>
          <w:sz w:val="22"/>
          <w:szCs w:val="22"/>
          <w:rtl/>
        </w:rPr>
      </w:pPr>
      <w:r>
        <w:rPr>
          <w:rFonts w:cs="FrankRuehl" w:hint="cs"/>
          <w:sz w:val="32"/>
          <w:rtl/>
        </w:rPr>
        <w:t>מנשר בדבר יישום הסכם הביניים (יהודה והשומרון) (מס' 7), תשנ"ו-1995</w:t>
      </w:r>
      <w:r w:rsidR="002053AF">
        <w:rPr>
          <w:rStyle w:val="default"/>
          <w:sz w:val="22"/>
          <w:szCs w:val="22"/>
          <w:rtl/>
        </w:rPr>
        <w:footnoteReference w:customMarkFollows="1" w:id="1"/>
        <w:t>*</w:t>
      </w:r>
    </w:p>
    <w:p w:rsidR="002053AF" w:rsidRDefault="002053AF" w:rsidP="00C53523">
      <w:pPr>
        <w:pStyle w:val="P00"/>
        <w:spacing w:before="72"/>
        <w:ind w:left="0" w:right="1134"/>
        <w:rPr>
          <w:rStyle w:val="default"/>
          <w:rFonts w:cs="FrankRuehl" w:hint="cs"/>
          <w:rtl/>
        </w:rPr>
      </w:pPr>
      <w:r>
        <w:rPr>
          <w:rStyle w:val="default"/>
          <w:rFonts w:cs="FrankRuehl" w:hint="cs"/>
          <w:rtl/>
        </w:rPr>
        <w:tab/>
      </w:r>
      <w:r w:rsidR="00C53523">
        <w:rPr>
          <w:rStyle w:val="default"/>
          <w:rFonts w:cs="FrankRuehl" w:hint="cs"/>
          <w:rtl/>
        </w:rPr>
        <w:t>בתוקף סמכותי כמפקד כוחות צה"ל באזור הנני קובע</w:t>
      </w:r>
      <w:r w:rsidR="00960CD6">
        <w:rPr>
          <w:rStyle w:val="default"/>
          <w:rFonts w:cs="FrankRuehl" w:hint="cs"/>
          <w:rtl/>
        </w:rPr>
        <w:t xml:space="preserve"> בזה</w:t>
      </w:r>
      <w:r w:rsidR="002E532F">
        <w:rPr>
          <w:rStyle w:val="default"/>
          <w:rFonts w:cs="FrankRuehl" w:hint="cs"/>
          <w:rtl/>
        </w:rPr>
        <w:t xml:space="preserve"> </w:t>
      </w:r>
      <w:r>
        <w:rPr>
          <w:rStyle w:val="default"/>
          <w:rFonts w:cs="FrankRuehl" w:hint="cs"/>
          <w:rtl/>
        </w:rPr>
        <w:t>לאמור:</w:t>
      </w:r>
    </w:p>
    <w:p w:rsidR="002053AF" w:rsidRDefault="002053AF" w:rsidP="00C53523">
      <w:pPr>
        <w:pStyle w:val="P00"/>
        <w:spacing w:before="72"/>
        <w:ind w:left="0" w:right="1134"/>
        <w:rPr>
          <w:rStyle w:val="default"/>
          <w:rFonts w:cs="FrankRuehl" w:hint="cs"/>
          <w:rtl/>
        </w:rPr>
      </w:pPr>
      <w:bookmarkStart w:id="0" w:name="Seif1"/>
      <w:bookmarkEnd w:id="0"/>
      <w:r>
        <w:rPr>
          <w:rFonts w:cs="Miriam"/>
          <w:lang w:val="he-IL"/>
        </w:rPr>
        <w:pict>
          <v:rect id="_x0000_s1026" style="position:absolute;left:0;text-align:left;margin-left:468pt;margin-top:7.1pt;width:71.4pt;height:11.95pt;z-index:251653120" o:allowincell="f" filled="f" stroked="f" strokecolor="lime" strokeweight=".25pt">
            <v:textbox style="mso-next-textbox:#_x0000_s1026" inset="0,0,0,0">
              <w:txbxContent>
                <w:p w:rsidR="006F587F" w:rsidRDefault="00C53523">
                  <w:pPr>
                    <w:spacing w:line="160" w:lineRule="exact"/>
                    <w:rPr>
                      <w:rFonts w:cs="Miriam" w:hint="cs"/>
                      <w:sz w:val="18"/>
                      <w:szCs w:val="18"/>
                      <w:rtl/>
                    </w:rPr>
                  </w:pPr>
                  <w:r>
                    <w:rPr>
                      <w:rFonts w:cs="Miriam" w:hint="cs"/>
                      <w:sz w:val="18"/>
                      <w:szCs w:val="18"/>
                      <w:rtl/>
                    </w:rPr>
                    <w:t>הגדרות</w:t>
                  </w:r>
                </w:p>
              </w:txbxContent>
            </v:textbox>
            <w10:anchorlock/>
          </v:rect>
        </w:pict>
      </w:r>
      <w:r>
        <w:rPr>
          <w:rStyle w:val="big-number"/>
          <w:rFonts w:cs="Miriam"/>
          <w:rtl/>
        </w:rPr>
        <w:t>1</w:t>
      </w:r>
      <w:r>
        <w:rPr>
          <w:rStyle w:val="big-number"/>
          <w:rFonts w:cs="FrankRuehl"/>
          <w:sz w:val="26"/>
          <w:szCs w:val="26"/>
          <w:rtl/>
        </w:rPr>
        <w:t>.</w:t>
      </w:r>
      <w:r>
        <w:rPr>
          <w:rStyle w:val="big-number"/>
          <w:rFonts w:cs="FrankRuehl"/>
          <w:sz w:val="26"/>
          <w:szCs w:val="26"/>
          <w:rtl/>
        </w:rPr>
        <w:tab/>
      </w:r>
      <w:r w:rsidR="00C53523">
        <w:rPr>
          <w:rStyle w:val="default"/>
          <w:rFonts w:cs="FrankRuehl" w:hint="cs"/>
          <w:rtl/>
        </w:rPr>
        <w:t xml:space="preserve">במנשר זה </w:t>
      </w:r>
      <w:r w:rsidR="00C53523">
        <w:rPr>
          <w:rStyle w:val="default"/>
          <w:rFonts w:cs="FrankRuehl"/>
          <w:rtl/>
        </w:rPr>
        <w:t>–</w:t>
      </w:r>
    </w:p>
    <w:p w:rsidR="00C53523" w:rsidRDefault="00C53523" w:rsidP="00C53523">
      <w:pPr>
        <w:pStyle w:val="P00"/>
        <w:spacing w:before="72"/>
        <w:ind w:left="0" w:right="1134"/>
        <w:rPr>
          <w:rStyle w:val="default"/>
          <w:rFonts w:cs="FrankRuehl" w:hint="cs"/>
          <w:rtl/>
        </w:rPr>
      </w:pPr>
      <w:r>
        <w:rPr>
          <w:rStyle w:val="default"/>
          <w:rFonts w:cs="FrankRuehl" w:hint="cs"/>
          <w:rtl/>
        </w:rPr>
        <w:tab/>
        <w:t xml:space="preserve">"הסכם הביניים" </w:t>
      </w:r>
      <w:r>
        <w:rPr>
          <w:rStyle w:val="default"/>
          <w:rFonts w:cs="FrankRuehl"/>
          <w:rtl/>
        </w:rPr>
        <w:t>–</w:t>
      </w:r>
      <w:r>
        <w:rPr>
          <w:rStyle w:val="default"/>
          <w:rFonts w:cs="FrankRuehl" w:hint="cs"/>
          <w:rtl/>
        </w:rPr>
        <w:t xml:space="preserve"> הסכם הביניים הישראלי-פלסטיני בדבר הגדה המערבית ורצועת עזה שנחתם בוושינגטון בין מדינת ישראל לבין אש"ף ביום ד' בתשרי התשנ"ו (28 בספטמבר 1995), כולל נספחיו והמפות המצורפות אליו וכן כל הסכם או הסדר אחר הנובע מהסכם זה או הנעשה ליישומו.</w:t>
      </w:r>
    </w:p>
    <w:p w:rsidR="00C53523" w:rsidRDefault="00C53523" w:rsidP="00C53523">
      <w:pPr>
        <w:pStyle w:val="P00"/>
        <w:spacing w:before="72"/>
        <w:ind w:left="0" w:right="1134"/>
        <w:rPr>
          <w:rStyle w:val="default"/>
          <w:rFonts w:cs="FrankRuehl" w:hint="cs"/>
          <w:rtl/>
        </w:rPr>
      </w:pPr>
      <w:r>
        <w:rPr>
          <w:rStyle w:val="default"/>
          <w:rFonts w:cs="FrankRuehl" w:hint="cs"/>
          <w:rtl/>
        </w:rPr>
        <w:tab/>
        <w:t xml:space="preserve">"המועצה" </w:t>
      </w:r>
      <w:r>
        <w:rPr>
          <w:rStyle w:val="default"/>
          <w:rFonts w:cs="FrankRuehl"/>
          <w:rtl/>
        </w:rPr>
        <w:t>–</w:t>
      </w:r>
      <w:r>
        <w:rPr>
          <w:rStyle w:val="default"/>
          <w:rFonts w:cs="FrankRuehl" w:hint="cs"/>
          <w:rtl/>
        </w:rPr>
        <w:t xml:space="preserve"> המועצה הפלסטינית שתכונן מכח הסכם הביניים.</w:t>
      </w:r>
    </w:p>
    <w:p w:rsidR="00C53523" w:rsidRDefault="00C53523" w:rsidP="00C53523">
      <w:pPr>
        <w:pStyle w:val="P00"/>
        <w:spacing w:before="72"/>
        <w:ind w:left="0" w:right="1134"/>
        <w:rPr>
          <w:rStyle w:val="default"/>
          <w:rFonts w:cs="FrankRuehl" w:hint="cs"/>
          <w:rtl/>
        </w:rPr>
      </w:pPr>
      <w:r>
        <w:rPr>
          <w:rStyle w:val="default"/>
          <w:rFonts w:cs="FrankRuehl" w:hint="cs"/>
          <w:rtl/>
        </w:rPr>
        <w:tab/>
        <w:t xml:space="preserve">"הרשות הפלסטינית" </w:t>
      </w:r>
      <w:r>
        <w:rPr>
          <w:rStyle w:val="default"/>
          <w:rFonts w:cs="FrankRuehl"/>
          <w:rtl/>
        </w:rPr>
        <w:t>–</w:t>
      </w:r>
      <w:r>
        <w:rPr>
          <w:rStyle w:val="default"/>
          <w:rFonts w:cs="FrankRuehl" w:hint="cs"/>
          <w:rtl/>
        </w:rPr>
        <w:t xml:space="preserve"> כמשמעותה בהסכם הביניים.</w:t>
      </w:r>
    </w:p>
    <w:p w:rsidR="00C53523" w:rsidRDefault="00C53523" w:rsidP="00C53523">
      <w:pPr>
        <w:pStyle w:val="P00"/>
        <w:spacing w:before="72"/>
        <w:ind w:left="0" w:right="1134"/>
        <w:rPr>
          <w:rStyle w:val="default"/>
          <w:rFonts w:cs="FrankRuehl" w:hint="cs"/>
          <w:sz w:val="20"/>
          <w:rtl/>
        </w:rPr>
      </w:pPr>
      <w:r w:rsidRPr="00C53523">
        <w:rPr>
          <w:rStyle w:val="default"/>
          <w:rFonts w:cs="FrankRuehl" w:hint="cs"/>
          <w:sz w:val="20"/>
          <w:rtl/>
        </w:rPr>
        <w:tab/>
        <w:t xml:space="preserve">"איזור </w:t>
      </w:r>
      <w:r>
        <w:rPr>
          <w:rStyle w:val="default"/>
          <w:rFonts w:cs="FrankRuehl"/>
          <w:sz w:val="20"/>
        </w:rPr>
        <w:t>C</w:t>
      </w:r>
      <w:r>
        <w:rPr>
          <w:rStyle w:val="default"/>
          <w:rFonts w:cs="FrankRuehl" w:hint="cs"/>
          <w:sz w:val="20"/>
          <w:rtl/>
        </w:rPr>
        <w:t xml:space="preserve">" </w:t>
      </w:r>
      <w:r>
        <w:rPr>
          <w:rStyle w:val="default"/>
          <w:rFonts w:cs="FrankRuehl"/>
          <w:sz w:val="20"/>
          <w:rtl/>
        </w:rPr>
        <w:t>–</w:t>
      </w:r>
      <w:r>
        <w:rPr>
          <w:rStyle w:val="default"/>
          <w:rFonts w:cs="FrankRuehl" w:hint="cs"/>
          <w:sz w:val="20"/>
          <w:rtl/>
        </w:rPr>
        <w:t xml:space="preserve"> כהגדרתו בסעיף </w:t>
      </w:r>
      <w:r>
        <w:rPr>
          <w:rStyle w:val="default"/>
          <w:rFonts w:cs="FrankRuehl"/>
          <w:sz w:val="20"/>
        </w:rPr>
        <w:t>XI</w:t>
      </w:r>
      <w:r>
        <w:rPr>
          <w:rStyle w:val="default"/>
          <w:rFonts w:cs="FrankRuehl" w:hint="cs"/>
          <w:sz w:val="20"/>
          <w:rtl/>
        </w:rPr>
        <w:t xml:space="preserve"> להסכם הביניים.</w:t>
      </w:r>
    </w:p>
    <w:p w:rsidR="00C53523" w:rsidRDefault="00C53523" w:rsidP="00C53523">
      <w:pPr>
        <w:pStyle w:val="P00"/>
        <w:spacing w:before="72"/>
        <w:ind w:left="0" w:right="1134"/>
        <w:rPr>
          <w:rStyle w:val="default"/>
          <w:rFonts w:cs="FrankRuehl" w:hint="cs"/>
          <w:sz w:val="20"/>
          <w:rtl/>
        </w:rPr>
      </w:pPr>
      <w:r>
        <w:rPr>
          <w:rStyle w:val="default"/>
          <w:rFonts w:cs="FrankRuehl" w:hint="cs"/>
          <w:sz w:val="20"/>
          <w:rtl/>
        </w:rPr>
        <w:tab/>
        <w:t xml:space="preserve">"האתרים הצבאיים" </w:t>
      </w:r>
      <w:r>
        <w:rPr>
          <w:rStyle w:val="default"/>
          <w:rFonts w:cs="FrankRuehl"/>
          <w:sz w:val="20"/>
          <w:rtl/>
        </w:rPr>
        <w:t>–</w:t>
      </w:r>
      <w:r>
        <w:rPr>
          <w:rStyle w:val="default"/>
          <w:rFonts w:cs="FrankRuehl" w:hint="cs"/>
          <w:sz w:val="20"/>
          <w:rtl/>
        </w:rPr>
        <w:t xml:space="preserve"> כמשמעותם בהסכם הביניים.</w:t>
      </w:r>
    </w:p>
    <w:p w:rsidR="00C53523" w:rsidRDefault="00C53523" w:rsidP="00C53523">
      <w:pPr>
        <w:pStyle w:val="P00"/>
        <w:spacing w:before="72"/>
        <w:ind w:left="0" w:right="1134"/>
        <w:rPr>
          <w:rStyle w:val="default"/>
          <w:rFonts w:cs="FrankRuehl" w:hint="cs"/>
          <w:sz w:val="20"/>
          <w:rtl/>
        </w:rPr>
      </w:pPr>
      <w:r>
        <w:rPr>
          <w:rStyle w:val="default"/>
          <w:rFonts w:cs="FrankRuehl" w:hint="cs"/>
          <w:sz w:val="20"/>
          <w:rtl/>
        </w:rPr>
        <w:tab/>
        <w:t xml:space="preserve">"הישובים" </w:t>
      </w:r>
      <w:r>
        <w:rPr>
          <w:rStyle w:val="default"/>
          <w:rFonts w:cs="FrankRuehl"/>
          <w:sz w:val="20"/>
          <w:rtl/>
        </w:rPr>
        <w:t>–</w:t>
      </w:r>
      <w:r>
        <w:rPr>
          <w:rStyle w:val="default"/>
          <w:rFonts w:cs="FrankRuehl" w:hint="cs"/>
          <w:sz w:val="20"/>
          <w:rtl/>
        </w:rPr>
        <w:t xml:space="preserve"> כהגדרתם בסעיף </w:t>
      </w:r>
      <w:r>
        <w:rPr>
          <w:rStyle w:val="default"/>
          <w:rFonts w:cs="FrankRuehl"/>
          <w:sz w:val="20"/>
        </w:rPr>
        <w:t>XII</w:t>
      </w:r>
      <w:r>
        <w:rPr>
          <w:rStyle w:val="default"/>
          <w:rFonts w:cs="FrankRuehl" w:hint="cs"/>
          <w:sz w:val="20"/>
          <w:rtl/>
        </w:rPr>
        <w:t xml:space="preserve"> להסכם הביניים.</w:t>
      </w:r>
    </w:p>
    <w:p w:rsidR="00C53523" w:rsidRPr="00C53523" w:rsidRDefault="00C53523" w:rsidP="00C53523">
      <w:pPr>
        <w:pStyle w:val="P00"/>
        <w:spacing w:before="72"/>
        <w:ind w:left="0" w:right="1134"/>
        <w:rPr>
          <w:rStyle w:val="default"/>
          <w:rFonts w:cs="FrankRuehl" w:hint="cs"/>
          <w:sz w:val="20"/>
          <w:rtl/>
        </w:rPr>
      </w:pPr>
      <w:r>
        <w:rPr>
          <w:rStyle w:val="default"/>
          <w:rFonts w:cs="FrankRuehl" w:hint="cs"/>
          <w:sz w:val="20"/>
          <w:rtl/>
        </w:rPr>
        <w:tab/>
        <w:t xml:space="preserve">"ישראלים" </w:t>
      </w:r>
      <w:r>
        <w:rPr>
          <w:rStyle w:val="default"/>
          <w:rFonts w:cs="FrankRuehl"/>
          <w:sz w:val="20"/>
          <w:rtl/>
        </w:rPr>
        <w:t>–</w:t>
      </w:r>
      <w:r>
        <w:rPr>
          <w:rStyle w:val="default"/>
          <w:rFonts w:cs="FrankRuehl" w:hint="cs"/>
          <w:sz w:val="20"/>
          <w:rtl/>
        </w:rPr>
        <w:t xml:space="preserve"> כהגדרתם בסעיף </w:t>
      </w:r>
      <w:r>
        <w:rPr>
          <w:rStyle w:val="default"/>
          <w:rFonts w:cs="FrankRuehl"/>
          <w:sz w:val="20"/>
        </w:rPr>
        <w:t>XX</w:t>
      </w:r>
      <w:r>
        <w:rPr>
          <w:rStyle w:val="default"/>
          <w:rFonts w:cs="FrankRuehl" w:hint="cs"/>
          <w:sz w:val="20"/>
          <w:rtl/>
        </w:rPr>
        <w:t xml:space="preserve"> להסכם הביניים.</w:t>
      </w:r>
    </w:p>
    <w:p w:rsidR="002053AF" w:rsidRDefault="002053AF" w:rsidP="00C53523">
      <w:pPr>
        <w:pStyle w:val="P00"/>
        <w:spacing w:before="72"/>
        <w:ind w:left="0" w:right="1134"/>
        <w:rPr>
          <w:rStyle w:val="default"/>
          <w:rFonts w:cs="FrankRuehl" w:hint="cs"/>
          <w:rtl/>
        </w:rPr>
      </w:pPr>
      <w:bookmarkStart w:id="1" w:name="Seif7"/>
      <w:bookmarkEnd w:id="1"/>
      <w:r>
        <w:rPr>
          <w:rFonts w:cs="Miriam"/>
          <w:szCs w:val="32"/>
          <w:rtl/>
          <w:lang w:val="he-IL"/>
        </w:rPr>
        <w:pict>
          <v:shapetype id="_x0000_t202" coordsize="21600,21600" o:spt="202" path="m,l,21600r21600,l21600,xe">
            <v:stroke joinstyle="miter"/>
            <v:path gradientshapeok="t" o:connecttype="rect"/>
          </v:shapetype>
          <v:shape id="_x0000_s1354" type="#_x0000_t202" style="position:absolute;left:0;text-align:left;margin-left:470.35pt;margin-top:7.1pt;width:1in;height:9.9pt;z-index:251659264" filled="f" stroked="f">
            <v:textbox inset="1mm,0,1mm,0">
              <w:txbxContent>
                <w:p w:rsidR="006F587F" w:rsidRDefault="00C53523">
                  <w:pPr>
                    <w:spacing w:line="160" w:lineRule="exact"/>
                    <w:rPr>
                      <w:rFonts w:cs="Miriam" w:hint="cs"/>
                      <w:sz w:val="18"/>
                      <w:szCs w:val="18"/>
                      <w:rtl/>
                    </w:rPr>
                  </w:pPr>
                  <w:r>
                    <w:rPr>
                      <w:rFonts w:cs="Miriam" w:hint="cs"/>
                      <w:sz w:val="18"/>
                      <w:szCs w:val="18"/>
                      <w:rtl/>
                    </w:rPr>
                    <w:t>היערכות מחדש</w:t>
                  </w:r>
                </w:p>
              </w:txbxContent>
            </v:textbox>
          </v:shape>
        </w:pict>
      </w:r>
      <w:r>
        <w:rPr>
          <w:rStyle w:val="big-number"/>
          <w:rFonts w:cs="Miriam" w:hint="cs"/>
          <w:rtl/>
        </w:rPr>
        <w:t>2</w:t>
      </w:r>
      <w:r>
        <w:rPr>
          <w:rStyle w:val="big-number"/>
          <w:rFonts w:cs="FrankRuehl"/>
          <w:sz w:val="26"/>
          <w:szCs w:val="26"/>
          <w:rtl/>
        </w:rPr>
        <w:t>.</w:t>
      </w:r>
      <w:r>
        <w:rPr>
          <w:rStyle w:val="big-number"/>
          <w:rFonts w:cs="FrankRuehl"/>
          <w:sz w:val="26"/>
          <w:szCs w:val="26"/>
          <w:rtl/>
        </w:rPr>
        <w:tab/>
      </w:r>
      <w:r w:rsidR="00C53523">
        <w:rPr>
          <w:rStyle w:val="big-number"/>
          <w:rFonts w:cs="FrankRuehl" w:hint="cs"/>
          <w:sz w:val="26"/>
          <w:szCs w:val="26"/>
          <w:rtl/>
        </w:rPr>
        <w:t>כוחות צה"ל ייערכו מחדש באיזור בהתאם להוראות הסכם הביניים, על פי קביעתו של מפקד כוחות צה"</w:t>
      </w:r>
      <w:r w:rsidR="00C53523">
        <w:rPr>
          <w:rStyle w:val="default"/>
          <w:rFonts w:cs="FrankRuehl" w:hint="cs"/>
          <w:rtl/>
        </w:rPr>
        <w:t>ל באיזור</w:t>
      </w:r>
      <w:r>
        <w:rPr>
          <w:rStyle w:val="default"/>
          <w:rFonts w:cs="FrankRuehl" w:hint="cs"/>
          <w:rtl/>
        </w:rPr>
        <w:t>.</w:t>
      </w:r>
    </w:p>
    <w:p w:rsidR="001F398C" w:rsidRDefault="001956C4" w:rsidP="00C53523">
      <w:pPr>
        <w:pStyle w:val="P00"/>
        <w:spacing w:before="72"/>
        <w:ind w:left="0" w:right="1134"/>
        <w:rPr>
          <w:rStyle w:val="default"/>
          <w:rFonts w:cs="FrankRuehl" w:hint="cs"/>
          <w:rtl/>
        </w:rPr>
      </w:pPr>
      <w:bookmarkStart w:id="2" w:name="Seif8"/>
      <w:bookmarkEnd w:id="2"/>
      <w:r>
        <w:rPr>
          <w:rFonts w:cs="Miriam" w:hint="cs"/>
          <w:sz w:val="32"/>
          <w:szCs w:val="32"/>
          <w:rtl/>
          <w:lang w:eastAsia="en-US"/>
        </w:rPr>
        <w:pict>
          <v:shape id="_x0000_s1361" type="#_x0000_t202" style="position:absolute;left:0;text-align:left;margin-left:470.35pt;margin-top:7.1pt;width:1in;height:11.8pt;z-index:251660288" filled="f" stroked="f">
            <v:textbox inset="1mm,0,1mm,0">
              <w:txbxContent>
                <w:p w:rsidR="006F587F" w:rsidRDefault="00C53523" w:rsidP="001D326B">
                  <w:pPr>
                    <w:spacing w:line="160" w:lineRule="exact"/>
                    <w:rPr>
                      <w:rFonts w:cs="Miriam" w:hint="cs"/>
                      <w:sz w:val="18"/>
                      <w:szCs w:val="18"/>
                      <w:rtl/>
                    </w:rPr>
                  </w:pPr>
                  <w:r>
                    <w:rPr>
                      <w:rFonts w:cs="Miriam" w:hint="cs"/>
                      <w:sz w:val="18"/>
                      <w:szCs w:val="18"/>
                      <w:rtl/>
                    </w:rPr>
                    <w:t>בחירות</w:t>
                  </w:r>
                </w:p>
              </w:txbxContent>
            </v:textbox>
            <w10:anchorlock/>
          </v:shape>
        </w:pict>
      </w:r>
      <w:r w:rsidR="002053AF">
        <w:rPr>
          <w:rStyle w:val="big-number"/>
          <w:rFonts w:cs="Miriam" w:hint="cs"/>
          <w:rtl/>
        </w:rPr>
        <w:t>3</w:t>
      </w:r>
      <w:r w:rsidR="002053AF">
        <w:rPr>
          <w:rStyle w:val="default"/>
          <w:rFonts w:cs="FrankRuehl"/>
          <w:rtl/>
        </w:rPr>
        <w:t>.</w:t>
      </w:r>
      <w:r w:rsidR="002053AF">
        <w:rPr>
          <w:rStyle w:val="default"/>
          <w:rFonts w:cs="FrankRuehl"/>
          <w:rtl/>
        </w:rPr>
        <w:tab/>
      </w:r>
      <w:r w:rsidR="00C53523">
        <w:rPr>
          <w:rStyle w:val="default"/>
          <w:rFonts w:cs="FrankRuehl" w:hint="cs"/>
          <w:rtl/>
        </w:rPr>
        <w:t>המועצה וראש הרשות המבצעת של המועצה יבחרו בבחירות לפי הקבוע בהסכם הביניים</w:t>
      </w:r>
      <w:r w:rsidR="001F398C">
        <w:rPr>
          <w:rStyle w:val="default"/>
          <w:rFonts w:cs="FrankRuehl" w:hint="cs"/>
          <w:rtl/>
        </w:rPr>
        <w:t>.</w:t>
      </w:r>
    </w:p>
    <w:p w:rsidR="002E532F" w:rsidRDefault="002053AF" w:rsidP="00C53523">
      <w:pPr>
        <w:pStyle w:val="P00"/>
        <w:spacing w:before="72"/>
        <w:ind w:left="0" w:right="1134"/>
        <w:rPr>
          <w:rStyle w:val="default"/>
          <w:rFonts w:cs="FrankRuehl" w:hint="cs"/>
          <w:rtl/>
        </w:rPr>
      </w:pPr>
      <w:bookmarkStart w:id="3" w:name="Seif4"/>
      <w:bookmarkEnd w:id="3"/>
      <w:r>
        <w:rPr>
          <w:rFonts w:cs="Miriam"/>
          <w:szCs w:val="32"/>
          <w:rtl/>
          <w:lang w:val="he-IL"/>
        </w:rPr>
        <w:pict>
          <v:shape id="_x0000_s1316" type="#_x0000_t202" style="position:absolute;left:0;text-align:left;margin-left:463.5pt;margin-top:7.1pt;width:78.85pt;height:18pt;z-index:251656192" filled="f" stroked="f">
            <v:textbox style="mso-next-textbox:#_x0000_s1316" inset="1mm,0,1mm,0">
              <w:txbxContent>
                <w:p w:rsidR="006F587F" w:rsidRDefault="00C53523" w:rsidP="00B115BA">
                  <w:pPr>
                    <w:spacing w:line="160" w:lineRule="exact"/>
                    <w:rPr>
                      <w:rFonts w:cs="Miriam" w:hint="cs"/>
                      <w:sz w:val="18"/>
                      <w:szCs w:val="18"/>
                      <w:rtl/>
                    </w:rPr>
                  </w:pPr>
                  <w:r>
                    <w:rPr>
                      <w:rFonts w:cs="Miriam" w:hint="cs"/>
                      <w:sz w:val="18"/>
                      <w:szCs w:val="18"/>
                      <w:rtl/>
                    </w:rPr>
                    <w:t>העברת סמכות למועצה</w:t>
                  </w:r>
                </w:p>
              </w:txbxContent>
            </v:textbox>
          </v:shape>
        </w:pict>
      </w:r>
      <w:r>
        <w:rPr>
          <w:rStyle w:val="big-number"/>
          <w:rFonts w:cs="Miriam" w:hint="cs"/>
          <w:rtl/>
        </w:rPr>
        <w:t>4</w:t>
      </w:r>
      <w:r>
        <w:rPr>
          <w:rStyle w:val="default"/>
          <w:rFonts w:cs="FrankRuehl"/>
          <w:rtl/>
        </w:rPr>
        <w:t>.</w:t>
      </w:r>
      <w:r>
        <w:rPr>
          <w:rStyle w:val="default"/>
          <w:rFonts w:cs="FrankRuehl"/>
          <w:rtl/>
        </w:rPr>
        <w:tab/>
      </w:r>
      <w:r w:rsidR="00C53523">
        <w:rPr>
          <w:rStyle w:val="default"/>
          <w:rFonts w:cs="FrankRuehl" w:hint="cs"/>
          <w:rtl/>
        </w:rPr>
        <w:t>א.</w:t>
      </w:r>
      <w:r w:rsidR="00C53523">
        <w:rPr>
          <w:rStyle w:val="default"/>
          <w:rFonts w:cs="FrankRuehl" w:hint="cs"/>
          <w:rtl/>
        </w:rPr>
        <w:tab/>
        <w:t>מפקד כוחות צה"ל באזור וראש המנהל האזרחי יעבירו לידי המועצה ורשויותיה כוחות ותחומי אחריות המצויים בידיהם או בידי מי שהוסמכו על ידם או מונו מטעמם, לרבות כוחות חקיקה, שיפוט ומנהל, הכל כמפורט בהסכם הביניים ובכפוף להוראותיו.</w:t>
      </w:r>
    </w:p>
    <w:p w:rsidR="00C53523" w:rsidRDefault="00C53523" w:rsidP="00C53523">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עד לכינון המועצה על פי הסכם הביניים יופעלו הכוחות ותחומי האחריות הנזכרים בסעיף קטן (א) על ידי הרשות הפלסטינית.</w:t>
      </w:r>
    </w:p>
    <w:p w:rsidR="002053AF" w:rsidRDefault="002053AF" w:rsidP="00C53523">
      <w:pPr>
        <w:pStyle w:val="P00"/>
        <w:spacing w:before="72"/>
        <w:ind w:left="0" w:right="1134"/>
        <w:rPr>
          <w:rStyle w:val="default"/>
          <w:rFonts w:cs="FrankRuehl" w:hint="cs"/>
          <w:rtl/>
        </w:rPr>
      </w:pPr>
      <w:bookmarkStart w:id="4" w:name="Seif5"/>
      <w:bookmarkEnd w:id="4"/>
      <w:r>
        <w:rPr>
          <w:rFonts w:cs="Miriam"/>
          <w:szCs w:val="32"/>
          <w:rtl/>
          <w:lang w:val="he-IL"/>
        </w:rPr>
        <w:pict>
          <v:shape id="_x0000_s1344" type="#_x0000_t202" style="position:absolute;left:0;text-align:left;margin-left:463.5pt;margin-top:7.1pt;width:78.85pt;height:23.45pt;z-index:251657216" filled="f" stroked="f">
            <v:textbox inset="1mm,0,1mm,0">
              <w:txbxContent>
                <w:p w:rsidR="006F587F" w:rsidRDefault="00C53523">
                  <w:pPr>
                    <w:spacing w:line="160" w:lineRule="exact"/>
                    <w:rPr>
                      <w:rFonts w:cs="Miriam" w:hint="cs"/>
                      <w:sz w:val="18"/>
                      <w:szCs w:val="18"/>
                      <w:rtl/>
                    </w:rPr>
                  </w:pPr>
                  <w:r>
                    <w:rPr>
                      <w:rFonts w:cs="Miriam" w:hint="cs"/>
                      <w:sz w:val="18"/>
                      <w:szCs w:val="18"/>
                      <w:rtl/>
                    </w:rPr>
                    <w:t>העברת זכויות וחובות</w:t>
                  </w:r>
                </w:p>
              </w:txbxContent>
            </v:textbox>
          </v:shape>
        </w:pict>
      </w:r>
      <w:r>
        <w:rPr>
          <w:rStyle w:val="big-number"/>
          <w:rFonts w:cs="Miriam" w:hint="cs"/>
          <w:rtl/>
        </w:rPr>
        <w:t>5</w:t>
      </w:r>
      <w:r>
        <w:rPr>
          <w:rStyle w:val="default"/>
          <w:rFonts w:cs="FrankRuehl"/>
          <w:rtl/>
        </w:rPr>
        <w:t>.</w:t>
      </w:r>
      <w:r>
        <w:rPr>
          <w:rStyle w:val="default"/>
          <w:rFonts w:cs="FrankRuehl"/>
          <w:rtl/>
        </w:rPr>
        <w:tab/>
      </w:r>
      <w:r w:rsidR="00C53523">
        <w:rPr>
          <w:rStyle w:val="default"/>
          <w:rFonts w:cs="FrankRuehl" w:hint="cs"/>
          <w:rtl/>
        </w:rPr>
        <w:t xml:space="preserve">העברת הכוחות ותחומי האחריות בהתאם לנספח </w:t>
      </w:r>
      <w:r w:rsidR="00C53523" w:rsidRPr="00C53523">
        <w:rPr>
          <w:rStyle w:val="default"/>
          <w:rFonts w:cs="FrankRuehl"/>
          <w:sz w:val="20"/>
          <w:szCs w:val="20"/>
        </w:rPr>
        <w:t>III</w:t>
      </w:r>
      <w:r w:rsidR="00C53523">
        <w:rPr>
          <w:rStyle w:val="default"/>
          <w:rFonts w:cs="FrankRuehl" w:hint="cs"/>
          <w:rtl/>
        </w:rPr>
        <w:t xml:space="preserve"> להסכם הביניים כוללת את העברת כל הזכויות, החובות וההתחייבויות הנוגעות אליהם, ויחולו בענין זה הוראות הסכם הביניים</w:t>
      </w:r>
      <w:r>
        <w:rPr>
          <w:rStyle w:val="default"/>
          <w:rFonts w:cs="FrankRuehl" w:hint="cs"/>
          <w:rtl/>
        </w:rPr>
        <w:t>.</w:t>
      </w:r>
    </w:p>
    <w:p w:rsidR="002053AF" w:rsidRDefault="002053AF" w:rsidP="00C53523">
      <w:pPr>
        <w:pStyle w:val="P00"/>
        <w:spacing w:before="72"/>
        <w:ind w:left="0" w:right="1134"/>
        <w:rPr>
          <w:rStyle w:val="default"/>
          <w:rFonts w:cs="FrankRuehl" w:hint="cs"/>
          <w:rtl/>
        </w:rPr>
      </w:pPr>
      <w:bookmarkStart w:id="5" w:name="Seif6"/>
      <w:bookmarkEnd w:id="5"/>
      <w:r>
        <w:rPr>
          <w:rFonts w:cs="Miriam"/>
          <w:szCs w:val="32"/>
          <w:rtl/>
          <w:lang w:val="he-IL"/>
        </w:rPr>
        <w:pict>
          <v:shape id="_x0000_s1345" type="#_x0000_t202" style="position:absolute;left:0;text-align:left;margin-left:463.5pt;margin-top:7.1pt;width:78.85pt;height:17.55pt;z-index:251658240" filled="f" stroked="f">
            <v:textbox inset="1mm,0,1mm,0">
              <w:txbxContent>
                <w:p w:rsidR="006F587F" w:rsidRDefault="00C53523">
                  <w:pPr>
                    <w:spacing w:line="160" w:lineRule="exact"/>
                    <w:rPr>
                      <w:rFonts w:cs="Miriam" w:hint="cs"/>
                      <w:sz w:val="18"/>
                      <w:szCs w:val="18"/>
                      <w:rtl/>
                    </w:rPr>
                  </w:pPr>
                  <w:r>
                    <w:rPr>
                      <w:rFonts w:cs="Miriam" w:hint="cs"/>
                      <w:sz w:val="18"/>
                      <w:szCs w:val="18"/>
                      <w:rtl/>
                    </w:rPr>
                    <w:t>סמכויות מפקד כוחות צה"ל באזור</w:t>
                  </w:r>
                </w:p>
              </w:txbxContent>
            </v:textbox>
          </v:shape>
        </w:pict>
      </w:r>
      <w:r w:rsidR="001956C4">
        <w:rPr>
          <w:rStyle w:val="big-number"/>
          <w:rFonts w:cs="Miriam" w:hint="cs"/>
          <w:rtl/>
        </w:rPr>
        <w:t>6</w:t>
      </w:r>
      <w:r>
        <w:rPr>
          <w:rStyle w:val="default"/>
          <w:rFonts w:cs="FrankRuehl"/>
          <w:rtl/>
        </w:rPr>
        <w:t>.</w:t>
      </w:r>
      <w:r>
        <w:rPr>
          <w:rStyle w:val="default"/>
          <w:rFonts w:cs="FrankRuehl"/>
          <w:rtl/>
        </w:rPr>
        <w:tab/>
      </w:r>
      <w:r w:rsidR="00C82F1D">
        <w:rPr>
          <w:rStyle w:val="default"/>
          <w:rFonts w:cs="FrankRuehl" w:hint="cs"/>
          <w:rtl/>
        </w:rPr>
        <w:t>א.</w:t>
      </w:r>
      <w:r w:rsidR="00C82F1D">
        <w:rPr>
          <w:rStyle w:val="default"/>
          <w:rFonts w:cs="FrankRuehl" w:hint="cs"/>
          <w:rtl/>
        </w:rPr>
        <w:tab/>
      </w:r>
      <w:r w:rsidR="00C53523">
        <w:rPr>
          <w:rStyle w:val="default"/>
          <w:rFonts w:cs="FrankRuehl" w:hint="cs"/>
          <w:rtl/>
        </w:rPr>
        <w:t xml:space="preserve">מפקד כוחות צה"ל באיזור וכן כל מי שנתמנה על ידו או פועל מטעמו יוסיפו להיות בעלי כוחות ותחומי אחריות, לרבות כוחות חקיקה, שיפוט ומנהל, על כל אחד מאלה </w:t>
      </w:r>
      <w:r w:rsidR="00C53523">
        <w:rPr>
          <w:rStyle w:val="default"/>
          <w:rFonts w:cs="FrankRuehl"/>
          <w:rtl/>
        </w:rPr>
        <w:t>–</w:t>
      </w:r>
    </w:p>
    <w:p w:rsidR="00C53523" w:rsidRPr="00C53523" w:rsidRDefault="00C53523" w:rsidP="00C82F1D">
      <w:pPr>
        <w:pStyle w:val="P00"/>
        <w:spacing w:before="72"/>
        <w:ind w:left="1021" w:right="1134"/>
        <w:rPr>
          <w:rStyle w:val="default"/>
          <w:rFonts w:cs="FrankRuehl" w:hint="cs"/>
          <w:sz w:val="20"/>
          <w:rtl/>
        </w:rPr>
      </w:pPr>
      <w:r w:rsidRPr="00C53523">
        <w:rPr>
          <w:rStyle w:val="default"/>
          <w:rFonts w:cs="FrankRuehl" w:hint="cs"/>
          <w:sz w:val="20"/>
          <w:rtl/>
        </w:rPr>
        <w:t>(1)</w:t>
      </w:r>
      <w:r w:rsidRPr="00C53523">
        <w:rPr>
          <w:rStyle w:val="default"/>
          <w:rFonts w:cs="FrankRuehl" w:hint="cs"/>
          <w:sz w:val="20"/>
          <w:rtl/>
        </w:rPr>
        <w:tab/>
        <w:t>הישובים והאתרים הצבאיים;</w:t>
      </w:r>
    </w:p>
    <w:p w:rsidR="00C53523" w:rsidRDefault="00C53523" w:rsidP="00C82F1D">
      <w:pPr>
        <w:pStyle w:val="P00"/>
        <w:spacing w:before="72"/>
        <w:ind w:left="1021" w:right="1134"/>
        <w:rPr>
          <w:rStyle w:val="default"/>
          <w:rFonts w:cs="FrankRuehl" w:hint="cs"/>
          <w:sz w:val="20"/>
          <w:rtl/>
        </w:rPr>
      </w:pPr>
      <w:r w:rsidRPr="00C53523">
        <w:rPr>
          <w:rStyle w:val="default"/>
          <w:rFonts w:cs="FrankRuehl" w:hint="cs"/>
          <w:sz w:val="20"/>
          <w:rtl/>
        </w:rPr>
        <w:t>(2)</w:t>
      </w:r>
      <w:r w:rsidRPr="00C53523">
        <w:rPr>
          <w:rStyle w:val="default"/>
          <w:rFonts w:cs="FrankRuehl" w:hint="cs"/>
          <w:sz w:val="20"/>
          <w:rtl/>
        </w:rPr>
        <w:tab/>
      </w:r>
      <w:r>
        <w:rPr>
          <w:rStyle w:val="default"/>
          <w:rFonts w:cs="FrankRuehl" w:hint="cs"/>
          <w:sz w:val="20"/>
          <w:rtl/>
        </w:rPr>
        <w:t xml:space="preserve">איזור </w:t>
      </w:r>
      <w:r>
        <w:rPr>
          <w:rStyle w:val="default"/>
          <w:rFonts w:cs="FrankRuehl"/>
          <w:sz w:val="20"/>
        </w:rPr>
        <w:t>C</w:t>
      </w:r>
      <w:r>
        <w:rPr>
          <w:rStyle w:val="default"/>
          <w:rFonts w:cs="FrankRuehl" w:hint="cs"/>
          <w:sz w:val="20"/>
          <w:rtl/>
        </w:rPr>
        <w:t>;</w:t>
      </w:r>
    </w:p>
    <w:p w:rsidR="00C53523" w:rsidRDefault="00C53523" w:rsidP="00C82F1D">
      <w:pPr>
        <w:pStyle w:val="P00"/>
        <w:spacing w:before="72"/>
        <w:ind w:left="1021" w:right="1134"/>
        <w:rPr>
          <w:rStyle w:val="default"/>
          <w:rFonts w:cs="FrankRuehl" w:hint="cs"/>
          <w:sz w:val="20"/>
          <w:rtl/>
        </w:rPr>
      </w:pPr>
      <w:r>
        <w:rPr>
          <w:rStyle w:val="default"/>
          <w:rFonts w:cs="FrankRuehl" w:hint="cs"/>
          <w:sz w:val="20"/>
          <w:rtl/>
        </w:rPr>
        <w:t>(3)</w:t>
      </w:r>
      <w:r>
        <w:rPr>
          <w:rStyle w:val="default"/>
          <w:rFonts w:cs="FrankRuehl" w:hint="cs"/>
          <w:sz w:val="20"/>
          <w:rtl/>
        </w:rPr>
        <w:tab/>
        <w:t>ישראלים;</w:t>
      </w:r>
    </w:p>
    <w:p w:rsidR="00C53523" w:rsidRDefault="00C53523" w:rsidP="00C82F1D">
      <w:pPr>
        <w:pStyle w:val="P00"/>
        <w:spacing w:before="72"/>
        <w:ind w:left="1021" w:right="1134"/>
        <w:rPr>
          <w:rStyle w:val="default"/>
          <w:rFonts w:cs="FrankRuehl" w:hint="cs"/>
          <w:sz w:val="20"/>
          <w:rtl/>
        </w:rPr>
      </w:pPr>
      <w:r>
        <w:rPr>
          <w:rStyle w:val="default"/>
          <w:rFonts w:cs="FrankRuehl" w:hint="cs"/>
          <w:sz w:val="20"/>
          <w:rtl/>
        </w:rPr>
        <w:t>(4)</w:t>
      </w:r>
      <w:r>
        <w:rPr>
          <w:rStyle w:val="default"/>
          <w:rFonts w:cs="FrankRuehl" w:hint="cs"/>
          <w:sz w:val="20"/>
          <w:rtl/>
        </w:rPr>
        <w:tab/>
        <w:t>כל עניין הנוגע לבטחון החוץ של האיזור, לבטחון ולסדר הציבורי של הישובים, האתרים הצבאיים וישראלים;</w:t>
      </w:r>
    </w:p>
    <w:p w:rsidR="00C53523" w:rsidRDefault="00C53523" w:rsidP="00C82F1D">
      <w:pPr>
        <w:pStyle w:val="P00"/>
        <w:spacing w:before="72"/>
        <w:ind w:left="1021" w:right="1134"/>
        <w:rPr>
          <w:rStyle w:val="default"/>
          <w:rFonts w:cs="FrankRuehl" w:hint="cs"/>
          <w:sz w:val="20"/>
          <w:rtl/>
        </w:rPr>
      </w:pPr>
      <w:r>
        <w:rPr>
          <w:rStyle w:val="default"/>
          <w:rFonts w:cs="FrankRuehl" w:hint="cs"/>
          <w:sz w:val="20"/>
          <w:rtl/>
        </w:rPr>
        <w:t>(5)</w:t>
      </w:r>
      <w:r>
        <w:rPr>
          <w:rStyle w:val="default"/>
          <w:rFonts w:cs="FrankRuehl" w:hint="cs"/>
          <w:sz w:val="20"/>
          <w:rtl/>
        </w:rPr>
        <w:tab/>
      </w:r>
      <w:r w:rsidR="00C82F1D">
        <w:rPr>
          <w:rStyle w:val="default"/>
          <w:rFonts w:cs="FrankRuehl" w:hint="cs"/>
          <w:sz w:val="20"/>
          <w:rtl/>
        </w:rPr>
        <w:t>בטחון וסדר ציבורי במקומות המצויים תחת אחריות בטחונית של ישראל; וכן</w:t>
      </w:r>
    </w:p>
    <w:p w:rsidR="00C82F1D" w:rsidRDefault="00C82F1D" w:rsidP="00C82F1D">
      <w:pPr>
        <w:pStyle w:val="P00"/>
        <w:spacing w:before="72"/>
        <w:ind w:left="1021" w:right="1134"/>
        <w:rPr>
          <w:rStyle w:val="default"/>
          <w:rFonts w:cs="FrankRuehl" w:hint="cs"/>
          <w:sz w:val="20"/>
          <w:rtl/>
        </w:rPr>
      </w:pPr>
      <w:r>
        <w:rPr>
          <w:rStyle w:val="default"/>
          <w:rFonts w:cs="FrankRuehl" w:hint="cs"/>
          <w:sz w:val="20"/>
          <w:rtl/>
        </w:rPr>
        <w:t>(6)</w:t>
      </w:r>
      <w:r>
        <w:rPr>
          <w:rStyle w:val="default"/>
          <w:rFonts w:cs="FrankRuehl" w:hint="cs"/>
          <w:sz w:val="20"/>
          <w:rtl/>
        </w:rPr>
        <w:tab/>
        <w:t>כוחות ותחומי אחריות אחרים הנתונים בידי מפקד כוחות צה"ל באיזור לפי הסכם הביניים, לרבות הכוחות ותחומי האחירות שלא הועברו למועצה בהסכם זה.</w:t>
      </w:r>
    </w:p>
    <w:p w:rsidR="00C82F1D" w:rsidRPr="00C53523" w:rsidRDefault="00C82F1D" w:rsidP="00C53523">
      <w:pPr>
        <w:pStyle w:val="P00"/>
        <w:spacing w:before="72"/>
        <w:ind w:left="0" w:right="1134"/>
        <w:rPr>
          <w:rStyle w:val="default"/>
          <w:rFonts w:cs="FrankRuehl" w:hint="cs"/>
          <w:sz w:val="20"/>
          <w:rtl/>
        </w:rPr>
      </w:pPr>
      <w:r>
        <w:rPr>
          <w:rStyle w:val="default"/>
          <w:rFonts w:cs="FrankRuehl" w:hint="cs"/>
          <w:sz w:val="20"/>
          <w:rtl/>
        </w:rPr>
        <w:tab/>
        <w:t>ב.</w:t>
      </w:r>
      <w:r>
        <w:rPr>
          <w:rStyle w:val="default"/>
          <w:rFonts w:cs="FrankRuehl" w:hint="cs"/>
          <w:sz w:val="20"/>
          <w:rtl/>
        </w:rPr>
        <w:tab/>
        <w:t>קביעת מפקד כוחות צה"ל באיזור כי כוחות ותחומי אחריות מוסיפים להיות בידו תהיה מכרעת לענין זה.</w:t>
      </w:r>
    </w:p>
    <w:p w:rsidR="002053AF" w:rsidRDefault="002053AF" w:rsidP="00C82F1D">
      <w:pPr>
        <w:pStyle w:val="P00"/>
        <w:spacing w:before="72"/>
        <w:ind w:left="0" w:right="1134"/>
        <w:rPr>
          <w:rStyle w:val="default"/>
          <w:rFonts w:cs="FrankRuehl" w:hint="cs"/>
          <w:rtl/>
        </w:rPr>
      </w:pPr>
      <w:bookmarkStart w:id="6" w:name="Seif2"/>
      <w:bookmarkEnd w:id="6"/>
      <w:r>
        <w:rPr>
          <w:rFonts w:cs="Miriam"/>
          <w:lang w:val="he-IL"/>
        </w:rPr>
        <w:pict>
          <v:rect id="_x0000_s1295" style="position:absolute;left:0;text-align:left;margin-left:464.35pt;margin-top:7.1pt;width:75.05pt;height:10.85pt;z-index:251654144" o:allowincell="f" filled="f" stroked="f" strokecolor="lime" strokeweight=".25pt">
            <v:textbox style="mso-next-textbox:#_x0000_s1295" inset="0,0,0,0">
              <w:txbxContent>
                <w:p w:rsidR="006F587F" w:rsidRDefault="00C82F1D">
                  <w:pPr>
                    <w:spacing w:line="160" w:lineRule="exact"/>
                    <w:rPr>
                      <w:rFonts w:cs="Miriam" w:hint="cs"/>
                      <w:sz w:val="18"/>
                      <w:szCs w:val="18"/>
                      <w:rtl/>
                    </w:rPr>
                  </w:pPr>
                  <w:r>
                    <w:rPr>
                      <w:rFonts w:cs="Miriam" w:hint="cs"/>
                      <w:sz w:val="18"/>
                      <w:szCs w:val="18"/>
                      <w:rtl/>
                    </w:rPr>
                    <w:t>תוקף המשפט הקיים</w:t>
                  </w:r>
                </w:p>
              </w:txbxContent>
            </v:textbox>
            <w10:anchorlock/>
          </v:rect>
        </w:pict>
      </w:r>
      <w:r w:rsidR="0027455F">
        <w:rPr>
          <w:rStyle w:val="big-number"/>
          <w:rFonts w:cs="Miriam" w:hint="cs"/>
          <w:rtl/>
        </w:rPr>
        <w:t>7</w:t>
      </w:r>
      <w:r>
        <w:rPr>
          <w:rStyle w:val="default"/>
          <w:rFonts w:cs="FrankRuehl"/>
          <w:rtl/>
        </w:rPr>
        <w:t>.</w:t>
      </w:r>
      <w:r>
        <w:rPr>
          <w:rStyle w:val="default"/>
          <w:rFonts w:cs="FrankRuehl"/>
          <w:rtl/>
        </w:rPr>
        <w:tab/>
      </w:r>
      <w:r w:rsidR="00C82F1D">
        <w:rPr>
          <w:rStyle w:val="default"/>
          <w:rFonts w:cs="FrankRuehl" w:hint="cs"/>
          <w:rtl/>
        </w:rPr>
        <w:t>הדין ותחיקת הבטחון החלים באיזור ביום הכניסה לתוקף של מנשר זה יעמדו בתוקפם, כל עוד לא בוטלו, שונו או הותלו בהתאם להוראות מנשר זה או להוראות הסכם הביניים</w:t>
      </w:r>
      <w:r w:rsidR="00A55943">
        <w:rPr>
          <w:rStyle w:val="default"/>
          <w:rFonts w:cs="FrankRuehl" w:hint="cs"/>
          <w:rtl/>
        </w:rPr>
        <w:t>.</w:t>
      </w:r>
    </w:p>
    <w:p w:rsidR="002053AF" w:rsidRDefault="002053AF" w:rsidP="00C82F1D">
      <w:pPr>
        <w:pStyle w:val="P00"/>
        <w:spacing w:before="72"/>
        <w:ind w:left="0" w:right="1134"/>
        <w:rPr>
          <w:rStyle w:val="default"/>
          <w:rFonts w:cs="FrankRuehl" w:hint="cs"/>
          <w:rtl/>
        </w:rPr>
      </w:pPr>
      <w:bookmarkStart w:id="7" w:name="Seif3"/>
      <w:bookmarkEnd w:id="7"/>
      <w:r>
        <w:rPr>
          <w:rFonts w:cs="Miriam"/>
          <w:lang w:val="he-IL"/>
        </w:rPr>
        <w:lastRenderedPageBreak/>
        <w:pict>
          <v:rect id="_x0000_s1296" style="position:absolute;left:0;text-align:left;margin-left:464.35pt;margin-top:7.1pt;width:75.05pt;height:10.95pt;z-index:251655168" o:allowincell="f" filled="f" stroked="f" strokecolor="lime" strokeweight=".25pt">
            <v:textbox style="mso-next-textbox:#_x0000_s1296" inset="0,0,0,0">
              <w:txbxContent>
                <w:p w:rsidR="006F587F" w:rsidRDefault="00C82F1D">
                  <w:pPr>
                    <w:pStyle w:val="a7"/>
                    <w:rPr>
                      <w:rFonts w:hint="cs"/>
                      <w:rtl/>
                    </w:rPr>
                  </w:pPr>
                  <w:r>
                    <w:rPr>
                      <w:rFonts w:hint="cs"/>
                      <w:rtl/>
                    </w:rPr>
                    <w:t>ביטול</w:t>
                  </w:r>
                </w:p>
              </w:txbxContent>
            </v:textbox>
            <w10:anchorlock/>
          </v:rect>
        </w:pict>
      </w:r>
      <w:r w:rsidR="0027455F">
        <w:rPr>
          <w:rStyle w:val="big-number"/>
          <w:rFonts w:cs="Miriam" w:hint="cs"/>
          <w:rtl/>
        </w:rPr>
        <w:t>8</w:t>
      </w:r>
      <w:r>
        <w:rPr>
          <w:rStyle w:val="default"/>
          <w:rFonts w:cs="FrankRuehl"/>
          <w:rtl/>
        </w:rPr>
        <w:t>.</w:t>
      </w:r>
      <w:r>
        <w:rPr>
          <w:rStyle w:val="default"/>
          <w:rFonts w:cs="FrankRuehl"/>
          <w:rtl/>
        </w:rPr>
        <w:tab/>
      </w:r>
      <w:r w:rsidR="00C82F1D">
        <w:rPr>
          <w:rStyle w:val="default"/>
          <w:rFonts w:cs="FrankRuehl" w:hint="cs"/>
          <w:rtl/>
        </w:rPr>
        <w:t>א.</w:t>
      </w:r>
      <w:r w:rsidR="00C82F1D">
        <w:rPr>
          <w:rStyle w:val="default"/>
          <w:rFonts w:cs="FrankRuehl" w:hint="cs"/>
          <w:rtl/>
        </w:rPr>
        <w:tab/>
        <w:t>המנשר בדבר יישום הסכם רצועת עזה ואיזור יריחו (יהודה והשומרון) (מס' 4), התשנ"ד-1994 בטל בזה, ואולם אין בכך כדי לפגוע בכל פעולה שנעשתה על פיו או מכוחו על ידי מפקד כוחות צה"ל באיזור או מי מטעמו.</w:t>
      </w:r>
    </w:p>
    <w:p w:rsidR="00C82F1D" w:rsidRDefault="00C82F1D" w:rsidP="00C82F1D">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המנשר בדבר יישום ההסכם בדבר העברה מכינה של כוחות ואחריות (יהודה והשומרון) (מס' 5), התשנ"ה-1995 והמנשר בדבר יישום ההסכם </w:t>
      </w:r>
      <w:r w:rsidR="005B2C2E">
        <w:rPr>
          <w:rStyle w:val="default"/>
          <w:rFonts w:cs="FrankRuehl" w:hint="cs"/>
          <w:rtl/>
        </w:rPr>
        <w:t>בדבר העברה נוספת של כוחות ואחריות (יהודה והשומרון) (מס' 6), התשנ"ה-1995 יהיו בטלים עם סיום השלב הראשון של ההערכות מחדש לפי הסכם הביניים, ואולם לא יהיה בכך כדי לפגוע בכל פעולה שנעשתה על פיהם או מכוחם עובר לביטול על ידי מפקד כוחות צה"ל או מטעמו.</w:t>
      </w:r>
    </w:p>
    <w:p w:rsidR="00011EC6" w:rsidRDefault="00011EC6" w:rsidP="005B2C2E">
      <w:pPr>
        <w:pStyle w:val="P00"/>
        <w:spacing w:before="72"/>
        <w:ind w:left="0" w:right="1134"/>
        <w:rPr>
          <w:rStyle w:val="default"/>
          <w:rFonts w:cs="FrankRuehl" w:hint="cs"/>
          <w:rtl/>
        </w:rPr>
      </w:pPr>
      <w:bookmarkStart w:id="8" w:name="Seif9"/>
      <w:bookmarkEnd w:id="8"/>
      <w:r>
        <w:rPr>
          <w:rFonts w:cs="Miriam"/>
          <w:lang w:val="he-IL"/>
        </w:rPr>
        <w:pict>
          <v:rect id="_x0000_s1381" style="position:absolute;left:0;text-align:left;margin-left:464.35pt;margin-top:7.1pt;width:75.05pt;height:12pt;z-index:251661312" o:allowincell="f" filled="f" stroked="f" strokecolor="lime" strokeweight=".25pt">
            <v:textbox style="mso-next-textbox:#_x0000_s1381" inset="0,0,0,0">
              <w:txbxContent>
                <w:p w:rsidR="006F587F" w:rsidRDefault="005B2C2E" w:rsidP="00011EC6">
                  <w:pPr>
                    <w:pStyle w:val="a7"/>
                    <w:rPr>
                      <w:rFonts w:hint="cs"/>
                      <w:rtl/>
                    </w:rPr>
                  </w:pPr>
                  <w:r>
                    <w:rPr>
                      <w:rFonts w:hint="cs"/>
                      <w:rtl/>
                    </w:rPr>
                    <w:t>תחילת תוקף</w:t>
                  </w:r>
                </w:p>
              </w:txbxContent>
            </v:textbox>
            <w10:anchorlock/>
          </v:rect>
        </w:pict>
      </w:r>
      <w:r w:rsidR="004B14A4">
        <w:rPr>
          <w:rStyle w:val="big-number"/>
          <w:rFonts w:cs="Miriam" w:hint="cs"/>
          <w:rtl/>
        </w:rPr>
        <w:t>9</w:t>
      </w:r>
      <w:r>
        <w:rPr>
          <w:rStyle w:val="default"/>
          <w:rFonts w:cs="FrankRuehl"/>
          <w:rtl/>
        </w:rPr>
        <w:t>.</w:t>
      </w:r>
      <w:r>
        <w:rPr>
          <w:rStyle w:val="default"/>
          <w:rFonts w:cs="FrankRuehl"/>
          <w:rtl/>
        </w:rPr>
        <w:tab/>
      </w:r>
      <w:r w:rsidR="005B2C2E">
        <w:rPr>
          <w:rStyle w:val="default"/>
          <w:rFonts w:cs="FrankRuehl" w:hint="cs"/>
          <w:rtl/>
        </w:rPr>
        <w:t>תחילת תוקפו של מנשר זה ביום ד' בתשרי התשנ"ו (28 בספטמבר 1995)</w:t>
      </w:r>
      <w:r>
        <w:rPr>
          <w:rStyle w:val="default"/>
          <w:rFonts w:cs="FrankRuehl" w:hint="cs"/>
          <w:rtl/>
        </w:rPr>
        <w:t>.</w:t>
      </w:r>
    </w:p>
    <w:p w:rsidR="00C53523" w:rsidRDefault="00C53523" w:rsidP="005B2C2E">
      <w:pPr>
        <w:pStyle w:val="P00"/>
        <w:spacing w:before="72"/>
        <w:ind w:left="0" w:right="1134"/>
        <w:rPr>
          <w:rStyle w:val="default"/>
          <w:rFonts w:cs="FrankRuehl" w:hint="cs"/>
          <w:rtl/>
        </w:rPr>
      </w:pPr>
      <w:bookmarkStart w:id="9" w:name="Seif10"/>
      <w:bookmarkEnd w:id="9"/>
      <w:r>
        <w:rPr>
          <w:rFonts w:cs="Miriam"/>
          <w:lang w:val="he-IL"/>
        </w:rPr>
        <w:pict>
          <v:rect id="_x0000_s1414" style="position:absolute;left:0;text-align:left;margin-left:464.35pt;margin-top:7.1pt;width:75.05pt;height:12pt;z-index:251662336" o:allowincell="f" filled="f" stroked="f" strokecolor="lime" strokeweight=".25pt">
            <v:textbox style="mso-next-textbox:#_x0000_s1414" inset="0,0,0,0">
              <w:txbxContent>
                <w:p w:rsidR="00C53523" w:rsidRDefault="00C53523" w:rsidP="00C53523">
                  <w:pPr>
                    <w:pStyle w:val="a7"/>
                    <w:rPr>
                      <w:rFonts w:hint="cs"/>
                      <w:rtl/>
                    </w:rPr>
                  </w:pPr>
                  <w:r>
                    <w:rPr>
                      <w:rFonts w:hint="cs"/>
                      <w:rtl/>
                    </w:rPr>
                    <w:t>השם</w:t>
                  </w:r>
                </w:p>
              </w:txbxContent>
            </v:textbox>
            <w10:anchorlock/>
          </v:rect>
        </w:pict>
      </w:r>
      <w:r w:rsidR="005B2C2E">
        <w:rPr>
          <w:rStyle w:val="big-number"/>
          <w:rFonts w:cs="Miriam" w:hint="cs"/>
          <w:rtl/>
        </w:rPr>
        <w:t>10</w:t>
      </w:r>
      <w:r>
        <w:rPr>
          <w:rStyle w:val="default"/>
          <w:rFonts w:cs="FrankRuehl"/>
          <w:rtl/>
        </w:rPr>
        <w:t>.</w:t>
      </w:r>
      <w:r>
        <w:rPr>
          <w:rStyle w:val="default"/>
          <w:rFonts w:cs="FrankRuehl"/>
          <w:rtl/>
        </w:rPr>
        <w:tab/>
      </w:r>
      <w:r>
        <w:rPr>
          <w:rStyle w:val="default"/>
          <w:rFonts w:cs="FrankRuehl" w:hint="cs"/>
          <w:rtl/>
        </w:rPr>
        <w:t>מנשר זה יקרא</w:t>
      </w:r>
      <w:r w:rsidR="005B2C2E">
        <w:rPr>
          <w:rStyle w:val="default"/>
          <w:rFonts w:cs="FrankRuehl" w:hint="cs"/>
          <w:rtl/>
        </w:rPr>
        <w:t>:</w:t>
      </w:r>
      <w:r>
        <w:rPr>
          <w:rStyle w:val="default"/>
          <w:rFonts w:cs="FrankRuehl" w:hint="cs"/>
          <w:rtl/>
        </w:rPr>
        <w:t xml:space="preserve"> "מנשר בדבר </w:t>
      </w:r>
      <w:r w:rsidR="005B2C2E">
        <w:rPr>
          <w:rStyle w:val="default"/>
          <w:rFonts w:cs="FrankRuehl" w:hint="cs"/>
          <w:rtl/>
        </w:rPr>
        <w:t>יישום הסכם הביניים (יהודה והשומרון) (מס' 7), התשנ"ו-1995"</w:t>
      </w:r>
      <w:r>
        <w:rPr>
          <w:rStyle w:val="default"/>
          <w:rFonts w:cs="FrankRuehl" w:hint="cs"/>
          <w:rtl/>
        </w:rPr>
        <w:t>.</w:t>
      </w:r>
    </w:p>
    <w:p w:rsidR="0055782C" w:rsidRDefault="0055782C" w:rsidP="00911999">
      <w:pPr>
        <w:pStyle w:val="sig-0"/>
        <w:tabs>
          <w:tab w:val="clear" w:pos="4820"/>
          <w:tab w:val="center" w:pos="5670"/>
        </w:tabs>
        <w:spacing w:before="72"/>
        <w:ind w:left="0" w:right="1134"/>
        <w:rPr>
          <w:rFonts w:cs="FrankRuehl" w:hint="cs"/>
          <w:sz w:val="26"/>
          <w:rtl/>
        </w:rPr>
      </w:pPr>
    </w:p>
    <w:p w:rsidR="002053AF" w:rsidRDefault="002053AF" w:rsidP="00911999">
      <w:pPr>
        <w:pStyle w:val="sig-0"/>
        <w:tabs>
          <w:tab w:val="clear" w:pos="4820"/>
          <w:tab w:val="center" w:pos="5670"/>
        </w:tabs>
        <w:spacing w:before="72"/>
        <w:ind w:left="0" w:right="1134"/>
        <w:rPr>
          <w:rFonts w:cs="FrankRuehl" w:hint="cs"/>
          <w:sz w:val="26"/>
          <w:rtl/>
        </w:rPr>
      </w:pPr>
    </w:p>
    <w:p w:rsidR="00911999" w:rsidRDefault="005B2C2E" w:rsidP="005B2C2E">
      <w:pPr>
        <w:pStyle w:val="sig-0"/>
        <w:tabs>
          <w:tab w:val="clear" w:pos="4820"/>
          <w:tab w:val="center" w:pos="5670"/>
        </w:tabs>
        <w:spacing w:before="72"/>
        <w:ind w:left="0" w:right="1134"/>
        <w:rPr>
          <w:rFonts w:cs="FrankRuehl" w:hint="cs"/>
          <w:sz w:val="26"/>
          <w:rtl/>
        </w:rPr>
      </w:pPr>
      <w:r>
        <w:rPr>
          <w:rFonts w:cs="FrankRuehl" w:hint="cs"/>
          <w:sz w:val="26"/>
          <w:rtl/>
        </w:rPr>
        <w:t>ל' בחשוון התשנ"ו (23 נובמבר 1995</w:t>
      </w:r>
      <w:r w:rsidR="00911999">
        <w:rPr>
          <w:rFonts w:cs="FrankRuehl" w:hint="cs"/>
          <w:sz w:val="26"/>
          <w:rtl/>
        </w:rPr>
        <w:t>)</w:t>
      </w:r>
      <w:r w:rsidR="00911999">
        <w:rPr>
          <w:rFonts w:cs="FrankRuehl" w:hint="cs"/>
          <w:sz w:val="26"/>
          <w:rtl/>
        </w:rPr>
        <w:tab/>
      </w:r>
      <w:r>
        <w:rPr>
          <w:rFonts w:cs="FrankRuehl" w:hint="cs"/>
          <w:sz w:val="26"/>
          <w:rtl/>
        </w:rPr>
        <w:t>אילן בירן</w:t>
      </w:r>
      <w:r w:rsidR="00911999">
        <w:rPr>
          <w:rFonts w:cs="FrankRuehl" w:hint="cs"/>
          <w:sz w:val="26"/>
          <w:rtl/>
        </w:rPr>
        <w:t>, אלוף</w:t>
      </w:r>
    </w:p>
    <w:p w:rsidR="00857B7D" w:rsidRDefault="00911999" w:rsidP="00911999">
      <w:pPr>
        <w:pStyle w:val="sig-0"/>
        <w:tabs>
          <w:tab w:val="clear" w:pos="4820"/>
          <w:tab w:val="center" w:pos="5670"/>
        </w:tabs>
        <w:spacing w:before="0"/>
        <w:ind w:left="0" w:right="1134"/>
        <w:rPr>
          <w:rFonts w:cs="FrankRuehl" w:hint="cs"/>
          <w:sz w:val="22"/>
          <w:szCs w:val="22"/>
          <w:rtl/>
        </w:rPr>
      </w:pPr>
      <w:r w:rsidRPr="00911999">
        <w:rPr>
          <w:rFonts w:cs="FrankRuehl" w:hint="cs"/>
          <w:sz w:val="22"/>
          <w:szCs w:val="22"/>
          <w:rtl/>
        </w:rPr>
        <w:tab/>
        <w:t xml:space="preserve">מפקד </w:t>
      </w:r>
      <w:r w:rsidR="00857B7D">
        <w:rPr>
          <w:rFonts w:cs="FrankRuehl" w:hint="cs"/>
          <w:sz w:val="22"/>
          <w:szCs w:val="22"/>
          <w:rtl/>
        </w:rPr>
        <w:t>כוחות צה"ל</w:t>
      </w:r>
    </w:p>
    <w:p w:rsidR="00911999" w:rsidRPr="00911999" w:rsidRDefault="00857B7D" w:rsidP="005B2C2E">
      <w:pPr>
        <w:pStyle w:val="sig-0"/>
        <w:tabs>
          <w:tab w:val="clear" w:pos="4820"/>
          <w:tab w:val="center" w:pos="5670"/>
        </w:tabs>
        <w:spacing w:before="0"/>
        <w:ind w:left="0" w:right="1134"/>
        <w:rPr>
          <w:rFonts w:cs="FrankRuehl" w:hint="cs"/>
          <w:sz w:val="22"/>
          <w:szCs w:val="22"/>
          <w:rtl/>
        </w:rPr>
      </w:pPr>
      <w:r>
        <w:rPr>
          <w:rFonts w:cs="FrankRuehl" w:hint="cs"/>
          <w:sz w:val="22"/>
          <w:szCs w:val="22"/>
          <w:rtl/>
        </w:rPr>
        <w:tab/>
        <w:t>ב</w:t>
      </w:r>
      <w:r w:rsidR="00911999" w:rsidRPr="00911999">
        <w:rPr>
          <w:rFonts w:cs="FrankRuehl" w:hint="cs"/>
          <w:sz w:val="22"/>
          <w:szCs w:val="22"/>
          <w:rtl/>
        </w:rPr>
        <w:t>א</w:t>
      </w:r>
      <w:r w:rsidR="005B2C2E">
        <w:rPr>
          <w:rFonts w:cs="FrankRuehl" w:hint="cs"/>
          <w:sz w:val="22"/>
          <w:szCs w:val="22"/>
          <w:rtl/>
        </w:rPr>
        <w:t>י</w:t>
      </w:r>
      <w:r w:rsidR="00911999" w:rsidRPr="00911999">
        <w:rPr>
          <w:rFonts w:cs="FrankRuehl" w:hint="cs"/>
          <w:sz w:val="22"/>
          <w:szCs w:val="22"/>
          <w:rtl/>
        </w:rPr>
        <w:t xml:space="preserve">זור </w:t>
      </w:r>
      <w:r w:rsidR="005B2C2E">
        <w:rPr>
          <w:rFonts w:cs="FrankRuehl" w:hint="cs"/>
          <w:sz w:val="22"/>
          <w:szCs w:val="22"/>
          <w:rtl/>
        </w:rPr>
        <w:t>יהודה והשומרון</w:t>
      </w:r>
    </w:p>
    <w:p w:rsidR="00C53523" w:rsidRDefault="00C53523" w:rsidP="00911999">
      <w:pPr>
        <w:pStyle w:val="sig-0"/>
        <w:tabs>
          <w:tab w:val="clear" w:pos="4820"/>
          <w:tab w:val="center" w:pos="5670"/>
        </w:tabs>
        <w:spacing w:before="72"/>
        <w:ind w:left="0" w:right="1134"/>
        <w:rPr>
          <w:rFonts w:cs="FrankRuehl" w:hint="cs"/>
          <w:sz w:val="26"/>
          <w:rtl/>
        </w:rPr>
      </w:pPr>
    </w:p>
    <w:p w:rsidR="00253756" w:rsidRDefault="00253756" w:rsidP="00911999">
      <w:pPr>
        <w:pStyle w:val="sig-0"/>
        <w:tabs>
          <w:tab w:val="clear" w:pos="4820"/>
          <w:tab w:val="center" w:pos="5670"/>
        </w:tabs>
        <w:spacing w:before="72"/>
        <w:ind w:left="0" w:right="1134"/>
        <w:rPr>
          <w:rFonts w:cs="FrankRuehl" w:hint="cs"/>
          <w:sz w:val="26"/>
          <w:rtl/>
        </w:rPr>
      </w:pPr>
    </w:p>
    <w:p w:rsidR="00C278D2" w:rsidRDefault="00C278D2" w:rsidP="00911999">
      <w:pPr>
        <w:pStyle w:val="sig-0"/>
        <w:spacing w:before="72"/>
        <w:ind w:left="0" w:right="1134"/>
        <w:rPr>
          <w:rFonts w:cs="FrankRuehl"/>
          <w:sz w:val="26"/>
          <w:rtl/>
        </w:rPr>
      </w:pPr>
    </w:p>
    <w:p w:rsidR="00C278D2" w:rsidRDefault="00C278D2" w:rsidP="00911999">
      <w:pPr>
        <w:pStyle w:val="sig-0"/>
        <w:spacing w:before="72"/>
        <w:ind w:left="0" w:right="1134"/>
        <w:rPr>
          <w:rFonts w:cs="FrankRuehl"/>
          <w:sz w:val="26"/>
          <w:rtl/>
        </w:rPr>
      </w:pPr>
    </w:p>
    <w:p w:rsidR="00C278D2" w:rsidRDefault="00C278D2" w:rsidP="00C278D2">
      <w:pPr>
        <w:pStyle w:val="sig-0"/>
        <w:spacing w:before="72"/>
        <w:ind w:left="0" w:right="1134"/>
        <w:jc w:val="center"/>
        <w:rPr>
          <w:rFonts w:cs="David"/>
          <w:color w:val="0000FF"/>
          <w:sz w:val="26"/>
          <w:szCs w:val="24"/>
          <w:u w:val="single"/>
          <w:rtl/>
        </w:rPr>
      </w:pPr>
      <w:hyperlink r:id="rId7" w:history="1">
        <w:r>
          <w:rPr>
            <w:rFonts w:cs="David"/>
            <w:color w:val="0000FF"/>
            <w:sz w:val="26"/>
            <w:szCs w:val="24"/>
            <w:u w:val="single"/>
            <w:rtl/>
          </w:rPr>
          <w:t>הודעה למנויים על עריכה ושינויים במסמכי פסיקה, חקיקה ועוד באתר נבו - הקש כאן</w:t>
        </w:r>
      </w:hyperlink>
    </w:p>
    <w:p w:rsidR="002053AF" w:rsidRPr="00C278D2" w:rsidRDefault="002053AF" w:rsidP="00C278D2">
      <w:pPr>
        <w:pStyle w:val="sig-0"/>
        <w:spacing w:before="72"/>
        <w:ind w:left="0" w:right="1134"/>
        <w:jc w:val="center"/>
        <w:rPr>
          <w:rFonts w:cs="David"/>
          <w:color w:val="0000FF"/>
          <w:sz w:val="26"/>
          <w:szCs w:val="24"/>
          <w:u w:val="single"/>
          <w:rtl/>
        </w:rPr>
      </w:pPr>
    </w:p>
    <w:sectPr w:rsidR="002053AF" w:rsidRPr="00C278D2">
      <w:headerReference w:type="even" r:id="rId8"/>
      <w:headerReference w:type="default" r:id="rId9"/>
      <w:footerReference w:type="even" r:id="rId10"/>
      <w:footerReference w:type="default" r:id="rId11"/>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B1887" w:rsidRDefault="004B1887">
      <w:r>
        <w:separator/>
      </w:r>
    </w:p>
  </w:endnote>
  <w:endnote w:type="continuationSeparator" w:id="0">
    <w:p w:rsidR="004B1887" w:rsidRDefault="004B18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Arial"/>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F587F" w:rsidRDefault="006F587F">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6F587F" w:rsidRDefault="006F587F">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6F587F" w:rsidRDefault="006F587F">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C278D2">
      <w:rPr>
        <w:rFonts w:cs="TopType Jerushalmi"/>
        <w:noProof/>
        <w:color w:val="000000"/>
        <w:sz w:val="14"/>
        <w:szCs w:val="14"/>
      </w:rPr>
      <w:t>Z:\000-law\yael\2012\2012-09-11\tav\666_034.doc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F587F" w:rsidRDefault="006F587F">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C278D2">
      <w:rPr>
        <w:rFonts w:hAnsi="FrankRuehl" w:cs="FrankRuehl"/>
        <w:noProof/>
        <w:sz w:val="24"/>
        <w:szCs w:val="24"/>
        <w:rtl/>
      </w:rPr>
      <w:t>3</w:t>
    </w:r>
    <w:r>
      <w:rPr>
        <w:rFonts w:hAnsi="FrankRuehl" w:cs="FrankRuehl"/>
        <w:sz w:val="24"/>
        <w:szCs w:val="24"/>
        <w:rtl/>
      </w:rPr>
      <w:fldChar w:fldCharType="end"/>
    </w:r>
  </w:p>
  <w:p w:rsidR="006F587F" w:rsidRDefault="006F587F">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6F587F" w:rsidRDefault="006F587F">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C278D2">
      <w:rPr>
        <w:rFonts w:cs="TopType Jerushalmi"/>
        <w:noProof/>
        <w:color w:val="000000"/>
        <w:sz w:val="14"/>
        <w:szCs w:val="14"/>
      </w:rPr>
      <w:t>Z:\000-law\yael\2012\2012-09-11\tav\666_034.doc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B1887" w:rsidRDefault="004B1887">
      <w:pPr>
        <w:pStyle w:val="a5"/>
        <w:spacing w:before="60"/>
        <w:ind w:right="1134"/>
        <w:rPr>
          <w:rFonts w:cs="David"/>
          <w:sz w:val="24"/>
          <w:szCs w:val="24"/>
        </w:rPr>
      </w:pPr>
      <w:r>
        <w:separator/>
      </w:r>
    </w:p>
  </w:footnote>
  <w:footnote w:type="continuationSeparator" w:id="0">
    <w:p w:rsidR="004B1887" w:rsidRDefault="004B1887">
      <w:pPr>
        <w:spacing w:before="60"/>
        <w:ind w:right="1134"/>
      </w:pPr>
      <w:r>
        <w:separator/>
      </w:r>
    </w:p>
  </w:footnote>
  <w:footnote w:id="1">
    <w:p w:rsidR="006F587F" w:rsidRPr="00366DD7" w:rsidRDefault="006F587F" w:rsidP="00C5352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Pr>
          <w:rFonts w:cs="FrankRuehl" w:hint="cs"/>
          <w:rtl/>
        </w:rPr>
        <w:t xml:space="preserve"> </w:t>
      </w:r>
      <w:r w:rsidR="00960CD6">
        <w:rPr>
          <w:rFonts w:cs="FrankRuehl" w:hint="cs"/>
          <w:rtl/>
        </w:rPr>
        <w:t xml:space="preserve">פורסם </w:t>
      </w:r>
      <w:hyperlink r:id="rId1" w:history="1">
        <w:r w:rsidR="00960CD6" w:rsidRPr="00960CD6">
          <w:rPr>
            <w:rStyle w:val="Hyperlink"/>
            <w:rFonts w:cs="FrankRuehl" w:hint="cs"/>
            <w:rtl/>
          </w:rPr>
          <w:t xml:space="preserve">קובץ המנשרים מס' </w:t>
        </w:r>
        <w:r w:rsidR="00C53523">
          <w:rPr>
            <w:rStyle w:val="Hyperlink"/>
            <w:rFonts w:cs="FrankRuehl" w:hint="cs"/>
            <w:rtl/>
          </w:rPr>
          <w:t>164</w:t>
        </w:r>
      </w:hyperlink>
      <w:r w:rsidR="00960CD6">
        <w:rPr>
          <w:rFonts w:cs="FrankRuehl" w:hint="cs"/>
          <w:rtl/>
        </w:rPr>
        <w:t xml:space="preserve"> </w:t>
      </w:r>
      <w:r w:rsidR="00C53523">
        <w:rPr>
          <w:rFonts w:cs="FrankRuehl" w:hint="cs"/>
          <w:rtl/>
        </w:rPr>
        <w:t>משנת תשנ"ה-1995</w:t>
      </w:r>
      <w:r w:rsidR="00960CD6">
        <w:rPr>
          <w:rFonts w:cs="FrankRuehl" w:hint="cs"/>
          <w:rtl/>
        </w:rPr>
        <w:t xml:space="preserve"> עמ' </w:t>
      </w:r>
      <w:r w:rsidR="00C53523">
        <w:rPr>
          <w:rFonts w:cs="FrankRuehl" w:hint="cs"/>
          <w:rtl/>
        </w:rPr>
        <w:t>1923</w:t>
      </w:r>
      <w:r>
        <w:rPr>
          <w:rFonts w:cs="FrankRuehl" w:hint="cs"/>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F587F" w:rsidRDefault="006F587F">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rsidR="006F587F" w:rsidRDefault="006F587F">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6F587F" w:rsidRDefault="006F587F">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F587F" w:rsidRDefault="00960CD6" w:rsidP="00C53523">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 xml:space="preserve">מנשר בדבר </w:t>
    </w:r>
    <w:r w:rsidR="00C53523">
      <w:rPr>
        <w:rFonts w:hAnsi="FrankRuehl" w:cs="FrankRuehl" w:hint="cs"/>
        <w:color w:val="000000"/>
        <w:sz w:val="28"/>
        <w:szCs w:val="28"/>
        <w:rtl/>
      </w:rPr>
      <w:t>יישום הסכם הביניים (יהודה והשומרון) (מס' 7), תשנ"ו-1995</w:t>
    </w:r>
  </w:p>
  <w:p w:rsidR="006F587F" w:rsidRDefault="006F587F">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6F587F" w:rsidRDefault="006F587F">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17920877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B677C"/>
    <w:rsid w:val="00011EC6"/>
    <w:rsid w:val="00070A3B"/>
    <w:rsid w:val="000752E2"/>
    <w:rsid w:val="000829DB"/>
    <w:rsid w:val="00084E0A"/>
    <w:rsid w:val="000B2E3C"/>
    <w:rsid w:val="000D4908"/>
    <w:rsid w:val="000D661F"/>
    <w:rsid w:val="00120B4B"/>
    <w:rsid w:val="001416DA"/>
    <w:rsid w:val="001566AF"/>
    <w:rsid w:val="00164CE3"/>
    <w:rsid w:val="00171444"/>
    <w:rsid w:val="001956C4"/>
    <w:rsid w:val="001966AA"/>
    <w:rsid w:val="001A17DA"/>
    <w:rsid w:val="001D326B"/>
    <w:rsid w:val="001E3CA0"/>
    <w:rsid w:val="001F398C"/>
    <w:rsid w:val="002053AF"/>
    <w:rsid w:val="00225D12"/>
    <w:rsid w:val="002311DB"/>
    <w:rsid w:val="00253756"/>
    <w:rsid w:val="00253D46"/>
    <w:rsid w:val="00264AFB"/>
    <w:rsid w:val="0027455F"/>
    <w:rsid w:val="00285062"/>
    <w:rsid w:val="002E532F"/>
    <w:rsid w:val="002F2A28"/>
    <w:rsid w:val="00366DD7"/>
    <w:rsid w:val="003D5A87"/>
    <w:rsid w:val="00402B42"/>
    <w:rsid w:val="0043008A"/>
    <w:rsid w:val="004B14A4"/>
    <w:rsid w:val="004B1887"/>
    <w:rsid w:val="004D1872"/>
    <w:rsid w:val="0055782C"/>
    <w:rsid w:val="005B2C2E"/>
    <w:rsid w:val="005E626F"/>
    <w:rsid w:val="00604BF9"/>
    <w:rsid w:val="00676224"/>
    <w:rsid w:val="006E6B41"/>
    <w:rsid w:val="006F587F"/>
    <w:rsid w:val="007315F5"/>
    <w:rsid w:val="0073717C"/>
    <w:rsid w:val="00771B15"/>
    <w:rsid w:val="007B2BCC"/>
    <w:rsid w:val="008344B0"/>
    <w:rsid w:val="00857B7D"/>
    <w:rsid w:val="0089610D"/>
    <w:rsid w:val="00896624"/>
    <w:rsid w:val="008B677C"/>
    <w:rsid w:val="008C4B4A"/>
    <w:rsid w:val="00911999"/>
    <w:rsid w:val="009377E0"/>
    <w:rsid w:val="00960CD6"/>
    <w:rsid w:val="009B4BA9"/>
    <w:rsid w:val="00A46F6E"/>
    <w:rsid w:val="00A55943"/>
    <w:rsid w:val="00A757D3"/>
    <w:rsid w:val="00A825C8"/>
    <w:rsid w:val="00AE4EAA"/>
    <w:rsid w:val="00B115BA"/>
    <w:rsid w:val="00B40BA7"/>
    <w:rsid w:val="00B40E19"/>
    <w:rsid w:val="00B831A9"/>
    <w:rsid w:val="00B91D00"/>
    <w:rsid w:val="00BA1195"/>
    <w:rsid w:val="00BB5224"/>
    <w:rsid w:val="00BB717E"/>
    <w:rsid w:val="00BD65CB"/>
    <w:rsid w:val="00C278D2"/>
    <w:rsid w:val="00C3798C"/>
    <w:rsid w:val="00C53523"/>
    <w:rsid w:val="00C56AD1"/>
    <w:rsid w:val="00C67430"/>
    <w:rsid w:val="00C71695"/>
    <w:rsid w:val="00C82F1D"/>
    <w:rsid w:val="00C953B9"/>
    <w:rsid w:val="00CC0D05"/>
    <w:rsid w:val="00CC1C98"/>
    <w:rsid w:val="00CE4364"/>
    <w:rsid w:val="00CE6730"/>
    <w:rsid w:val="00CF5A40"/>
    <w:rsid w:val="00D164BE"/>
    <w:rsid w:val="00E34AA7"/>
    <w:rsid w:val="00E36A59"/>
    <w:rsid w:val="00E50E33"/>
    <w:rsid w:val="00EF5F4F"/>
    <w:rsid w:val="00F84585"/>
    <w:rsid w:val="00FA4A32"/>
    <w:rsid w:val="00FA5206"/>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E9CADFB1-ABE1-48DA-8F31-52DA511284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character" w:customStyle="1" w:styleId="default">
    <w:name w:val="default"/>
    <w:basedOn w:val="a0"/>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basedOn w:val="default"/>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paragraph" w:styleId="a7">
    <w:name w:val="Body Text"/>
    <w:basedOn w:val="a"/>
    <w:pPr>
      <w:spacing w:line="160" w:lineRule="exact"/>
    </w:pPr>
    <w:rPr>
      <w:rFonts w:cs="Miriam"/>
      <w:sz w:val="18"/>
      <w:szCs w:val="18"/>
    </w:rPr>
  </w:style>
  <w:style w:type="character" w:styleId="FollowedHyperlink">
    <w:name w:val="FollowedHyperlink"/>
    <w:basedOn w:val="a0"/>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nevo.co.il/advertisements/nevo-100.doc"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70/zava-0164.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613</Words>
  <Characters>3495</Characters>
  <Application>Microsoft Office Word</Application>
  <DocSecurity>4</DocSecurity>
  <Lines>29</Lines>
  <Paragraphs>8</Paragraphs>
  <ScaleCrop>false</ScaleCrop>
  <HeadingPairs>
    <vt:vector size="2" baseType="variant">
      <vt:variant>
        <vt:lpstr>Title</vt:lpstr>
      </vt:variant>
      <vt:variant>
        <vt:i4>1</vt:i4>
      </vt:variant>
    </vt:vector>
  </HeadingPairs>
  <TitlesOfParts>
    <vt:vector size="1" baseType="lpstr">
      <vt:lpstr>יהודה והשומרון</vt:lpstr>
    </vt:vector>
  </TitlesOfParts>
  <Company/>
  <LinksUpToDate>false</LinksUpToDate>
  <CharactersWithSpaces>4100</CharactersWithSpaces>
  <SharedDoc>false</SharedDoc>
  <HLinks>
    <vt:vector size="72" baseType="variant">
      <vt:variant>
        <vt:i4>393283</vt:i4>
      </vt:variant>
      <vt:variant>
        <vt:i4>60</vt:i4>
      </vt:variant>
      <vt:variant>
        <vt:i4>0</vt:i4>
      </vt:variant>
      <vt:variant>
        <vt:i4>5</vt:i4>
      </vt:variant>
      <vt:variant>
        <vt:lpwstr>http://www.nevo.co.il/advertisements/nevo-100.doc</vt:lpwstr>
      </vt:variant>
      <vt:variant>
        <vt:lpwstr/>
      </vt:variant>
      <vt:variant>
        <vt:i4>3342379</vt:i4>
      </vt:variant>
      <vt:variant>
        <vt:i4>54</vt:i4>
      </vt:variant>
      <vt:variant>
        <vt:i4>0</vt:i4>
      </vt:variant>
      <vt:variant>
        <vt:i4>5</vt:i4>
      </vt:variant>
      <vt:variant>
        <vt:lpwstr/>
      </vt:variant>
      <vt:variant>
        <vt:lpwstr>Seif10</vt:lpwstr>
      </vt:variant>
      <vt:variant>
        <vt:i4>196634</vt:i4>
      </vt:variant>
      <vt:variant>
        <vt:i4>48</vt:i4>
      </vt:variant>
      <vt:variant>
        <vt:i4>0</vt:i4>
      </vt:variant>
      <vt:variant>
        <vt:i4>5</vt:i4>
      </vt:variant>
      <vt:variant>
        <vt:lpwstr/>
      </vt:variant>
      <vt:variant>
        <vt:lpwstr>Seif9</vt:lpwstr>
      </vt:variant>
      <vt:variant>
        <vt:i4>196634</vt:i4>
      </vt:variant>
      <vt:variant>
        <vt:i4>42</vt:i4>
      </vt:variant>
      <vt:variant>
        <vt:i4>0</vt:i4>
      </vt:variant>
      <vt:variant>
        <vt:i4>5</vt:i4>
      </vt:variant>
      <vt:variant>
        <vt:lpwstr/>
      </vt:variant>
      <vt:variant>
        <vt:lpwstr>Seif3</vt:lpwstr>
      </vt:variant>
      <vt:variant>
        <vt:i4>196634</vt:i4>
      </vt:variant>
      <vt:variant>
        <vt:i4>36</vt:i4>
      </vt:variant>
      <vt:variant>
        <vt:i4>0</vt:i4>
      </vt:variant>
      <vt:variant>
        <vt:i4>5</vt:i4>
      </vt:variant>
      <vt:variant>
        <vt:lpwstr/>
      </vt:variant>
      <vt:variant>
        <vt:lpwstr>Seif2</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Seif8</vt:lpwstr>
      </vt:variant>
      <vt:variant>
        <vt:i4>196634</vt:i4>
      </vt:variant>
      <vt:variant>
        <vt:i4>6</vt:i4>
      </vt:variant>
      <vt:variant>
        <vt:i4>0</vt:i4>
      </vt:variant>
      <vt:variant>
        <vt:i4>5</vt:i4>
      </vt:variant>
      <vt:variant>
        <vt:lpwstr/>
      </vt:variant>
      <vt:variant>
        <vt:lpwstr>Seif7</vt:lpwstr>
      </vt:variant>
      <vt:variant>
        <vt:i4>196634</vt:i4>
      </vt:variant>
      <vt:variant>
        <vt:i4>0</vt:i4>
      </vt:variant>
      <vt:variant>
        <vt:i4>0</vt:i4>
      </vt:variant>
      <vt:variant>
        <vt:i4>5</vt:i4>
      </vt:variant>
      <vt:variant>
        <vt:lpwstr/>
      </vt:variant>
      <vt:variant>
        <vt:lpwstr>Seif1</vt:lpwstr>
      </vt:variant>
      <vt:variant>
        <vt:i4>1572991</vt:i4>
      </vt:variant>
      <vt:variant>
        <vt:i4>0</vt:i4>
      </vt:variant>
      <vt:variant>
        <vt:i4>0</vt:i4>
      </vt:variant>
      <vt:variant>
        <vt:i4>5</vt:i4>
      </vt:variant>
      <vt:variant>
        <vt:lpwstr>http://www.nevo.co.il/Law_word/law70/zava-0164.pdf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2023-06-28T21:34:00Z</dcterms:created>
  <dcterms:modified xsi:type="dcterms:W3CDTF">2023-06-28T21:34:00Z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0666</vt:lpwstr>
  </property>
  <property fmtid="{D5CDD505-2E9C-101B-9397-08002B2CF9AE}" pid="3" name="LAWNAME">
    <vt:lpwstr>מנשר בדבר יישום הסכם הביניים (יהודה והשומרון) (מס' 7), תשנ"ו-1995</vt:lpwstr>
  </property>
  <property fmtid="{D5CDD505-2E9C-101B-9397-08002B2CF9AE}" pid="4" name="LAWNUMBER">
    <vt:lpwstr>0034</vt:lpwstr>
  </property>
  <property fmtid="{D5CDD505-2E9C-101B-9397-08002B2CF9AE}" pid="5" name="TYPE">
    <vt:lpwstr>65</vt:lpwstr>
  </property>
  <property fmtid="{D5CDD505-2E9C-101B-9397-08002B2CF9AE}" pid="6" name="CHNAME">
    <vt:lpwstr>יהודה והשומרון</vt:lpwstr>
  </property>
  <property fmtid="{D5CDD505-2E9C-101B-9397-08002B2CF9AE}" pid="7" name="LINKK2">
    <vt:lpwstr/>
  </property>
  <property fmtid="{D5CDD505-2E9C-101B-9397-08002B2CF9AE}" pid="8" name="LINKK3">
    <vt:lpwstr/>
  </property>
  <property fmtid="{D5CDD505-2E9C-101B-9397-08002B2CF9AE}" pid="9" name="LINKK4">
    <vt:lpwstr/>
  </property>
  <property fmtid="{D5CDD505-2E9C-101B-9397-08002B2CF9AE}" pid="10" name="LINKK5">
    <vt:lpwstr/>
  </property>
  <property fmtid="{D5CDD505-2E9C-101B-9397-08002B2CF9AE}" pid="11" name="LINKK6">
    <vt:lpwstr/>
  </property>
  <property fmtid="{D5CDD505-2E9C-101B-9397-08002B2CF9AE}" pid="12" name="LINKK7">
    <vt:lpwstr/>
  </property>
  <property fmtid="{D5CDD505-2E9C-101B-9397-08002B2CF9AE}" pid="13" name="LINKK8">
    <vt:lpwstr/>
  </property>
  <property fmtid="{D5CDD505-2E9C-101B-9397-08002B2CF9AE}" pid="14" name="LINKK9">
    <vt:lpwstr/>
  </property>
  <property fmtid="{D5CDD505-2E9C-101B-9397-08002B2CF9AE}" pid="15" name="LINKK10">
    <vt:lpwstr/>
  </property>
  <property fmtid="{D5CDD505-2E9C-101B-9397-08002B2CF9AE}" pid="16" name="LINKI1">
    <vt:lpwstr/>
  </property>
  <property fmtid="{D5CDD505-2E9C-101B-9397-08002B2CF9AE}" pid="17" name="LINKI2">
    <vt:lpwstr/>
  </property>
  <property fmtid="{D5CDD505-2E9C-101B-9397-08002B2CF9AE}" pid="18" name="LINKI3">
    <vt:lpwstr/>
  </property>
  <property fmtid="{D5CDD505-2E9C-101B-9397-08002B2CF9AE}" pid="19" name="LINKI4">
    <vt:lpwstr/>
  </property>
  <property fmtid="{D5CDD505-2E9C-101B-9397-08002B2CF9AE}" pid="20" name="LINKI5">
    <vt:lpwstr/>
  </property>
</Properties>
</file>