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5A4735" w:rsidP="00317907">
      <w:pPr>
        <w:pStyle w:val="big-header"/>
        <w:ind w:left="0" w:right="1134"/>
        <w:rPr>
          <w:rFonts w:cs="FrankRuehl" w:hint="cs"/>
          <w:sz w:val="32"/>
          <w:rtl/>
        </w:rPr>
      </w:pPr>
      <w:r w:rsidRPr="005A4735">
        <w:rPr>
          <w:rFonts w:cs="FrankRuehl" w:hint="cs"/>
          <w:sz w:val="32"/>
          <w:rtl/>
        </w:rPr>
        <w:t>צו בדבר אכיפה (נגיף הקורונה) (יהודה ושומרון) (מס' 2063) (הוראת שעה), תשפ"א-2021</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1 </w:t>
            </w:r>
          </w:p>
        </w:tc>
        <w:tc>
          <w:tcPr>
            <w:tcW w:w="5669" w:type="dxa"/>
          </w:tcPr>
          <w:p w:rsidR="0058037F" w:rsidRPr="0058037F" w:rsidRDefault="0058037F" w:rsidP="0058037F">
            <w:pPr>
              <w:rPr>
                <w:rFonts w:cs="Frankruhel" w:hint="cs"/>
                <w:rtl/>
              </w:rPr>
            </w:pPr>
            <w:r>
              <w:rPr>
                <w:rtl/>
              </w:rPr>
              <w:t>עבירות פליליות</w:t>
            </w:r>
          </w:p>
        </w:tc>
        <w:tc>
          <w:tcPr>
            <w:tcW w:w="567" w:type="dxa"/>
          </w:tcPr>
          <w:p w:rsidR="0058037F" w:rsidRPr="0058037F" w:rsidRDefault="0058037F" w:rsidP="0058037F">
            <w:pPr>
              <w:rPr>
                <w:rStyle w:val="Hyperlink"/>
                <w:rFonts w:hint="cs"/>
                <w:rtl/>
              </w:rPr>
            </w:pPr>
            <w:hyperlink w:anchor="Seif1" w:tooltip="עבירות פליליו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2 </w:t>
            </w:r>
          </w:p>
        </w:tc>
        <w:tc>
          <w:tcPr>
            <w:tcW w:w="5669" w:type="dxa"/>
          </w:tcPr>
          <w:p w:rsidR="0058037F" w:rsidRPr="0058037F" w:rsidRDefault="0058037F" w:rsidP="0058037F">
            <w:pPr>
              <w:rPr>
                <w:rFonts w:cs="Frankruhel" w:hint="cs"/>
                <w:rtl/>
              </w:rPr>
            </w:pPr>
            <w:r>
              <w:rPr>
                <w:rtl/>
              </w:rPr>
              <w:t>פיזור התקהלות או התכנסות</w:t>
            </w:r>
          </w:p>
        </w:tc>
        <w:tc>
          <w:tcPr>
            <w:tcW w:w="567" w:type="dxa"/>
          </w:tcPr>
          <w:p w:rsidR="0058037F" w:rsidRPr="0058037F" w:rsidRDefault="0058037F" w:rsidP="0058037F">
            <w:pPr>
              <w:rPr>
                <w:rStyle w:val="Hyperlink"/>
                <w:rFonts w:hint="cs"/>
                <w:rtl/>
              </w:rPr>
            </w:pPr>
            <w:hyperlink w:anchor="Seif3" w:tooltip="פיזור התקהלות או התכנסו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2א </w:t>
            </w:r>
          </w:p>
        </w:tc>
        <w:tc>
          <w:tcPr>
            <w:tcW w:w="5669" w:type="dxa"/>
          </w:tcPr>
          <w:p w:rsidR="0058037F" w:rsidRPr="0058037F" w:rsidRDefault="0058037F" w:rsidP="0058037F">
            <w:pPr>
              <w:rPr>
                <w:rFonts w:cs="Frankruhel" w:hint="cs"/>
                <w:rtl/>
              </w:rPr>
            </w:pPr>
            <w:r>
              <w:rPr>
                <w:rtl/>
              </w:rPr>
              <w:t>אי עטיית מסכה</w:t>
            </w:r>
          </w:p>
        </w:tc>
        <w:tc>
          <w:tcPr>
            <w:tcW w:w="567" w:type="dxa"/>
          </w:tcPr>
          <w:p w:rsidR="0058037F" w:rsidRPr="0058037F" w:rsidRDefault="0058037F" w:rsidP="0058037F">
            <w:pPr>
              <w:rPr>
                <w:rStyle w:val="Hyperlink"/>
                <w:rFonts w:hint="cs"/>
                <w:rtl/>
              </w:rPr>
            </w:pPr>
            <w:hyperlink w:anchor="Seif12" w:tooltip="אי עטיית מסכה"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3 </w:t>
            </w:r>
          </w:p>
        </w:tc>
        <w:tc>
          <w:tcPr>
            <w:tcW w:w="5669" w:type="dxa"/>
          </w:tcPr>
          <w:p w:rsidR="0058037F" w:rsidRPr="0058037F" w:rsidRDefault="0058037F" w:rsidP="0058037F">
            <w:pPr>
              <w:rPr>
                <w:rFonts w:cs="Frankruhel" w:hint="cs"/>
                <w:rtl/>
              </w:rPr>
            </w:pPr>
            <w:r>
              <w:rPr>
                <w:rtl/>
              </w:rPr>
              <w:t>עבירות מינהליות</w:t>
            </w:r>
          </w:p>
        </w:tc>
        <w:tc>
          <w:tcPr>
            <w:tcW w:w="567" w:type="dxa"/>
          </w:tcPr>
          <w:p w:rsidR="0058037F" w:rsidRPr="0058037F" w:rsidRDefault="0058037F" w:rsidP="0058037F">
            <w:pPr>
              <w:rPr>
                <w:rStyle w:val="Hyperlink"/>
                <w:rFonts w:hint="cs"/>
                <w:rtl/>
              </w:rPr>
            </w:pPr>
            <w:hyperlink w:anchor="Seif4" w:tooltip="עבירות מינהליו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4 </w:t>
            </w:r>
          </w:p>
        </w:tc>
        <w:tc>
          <w:tcPr>
            <w:tcW w:w="5669" w:type="dxa"/>
          </w:tcPr>
          <w:p w:rsidR="0058037F" w:rsidRPr="0058037F" w:rsidRDefault="0058037F" w:rsidP="0058037F">
            <w:pPr>
              <w:rPr>
                <w:rFonts w:cs="Frankruhel" w:hint="cs"/>
                <w:rtl/>
              </w:rPr>
            </w:pPr>
            <w:r>
              <w:rPr>
                <w:rtl/>
              </w:rPr>
              <w:t>קנס מינהלי קצוב</w:t>
            </w:r>
          </w:p>
        </w:tc>
        <w:tc>
          <w:tcPr>
            <w:tcW w:w="567" w:type="dxa"/>
          </w:tcPr>
          <w:p w:rsidR="0058037F" w:rsidRPr="0058037F" w:rsidRDefault="0058037F" w:rsidP="0058037F">
            <w:pPr>
              <w:rPr>
                <w:rStyle w:val="Hyperlink"/>
                <w:rFonts w:hint="cs"/>
                <w:rtl/>
              </w:rPr>
            </w:pPr>
            <w:hyperlink w:anchor="Seif2" w:tooltip="קנס מינהלי קצוב"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5 </w:t>
            </w:r>
          </w:p>
        </w:tc>
        <w:tc>
          <w:tcPr>
            <w:tcW w:w="5669" w:type="dxa"/>
          </w:tcPr>
          <w:p w:rsidR="0058037F" w:rsidRPr="0058037F" w:rsidRDefault="0058037F" w:rsidP="0058037F">
            <w:pPr>
              <w:rPr>
                <w:rFonts w:cs="Frankruhel" w:hint="cs"/>
                <w:rtl/>
              </w:rPr>
            </w:pPr>
            <w:r>
              <w:rPr>
                <w:rtl/>
              </w:rPr>
              <w:t>עבירה מינהלית חוזרת</w:t>
            </w:r>
          </w:p>
        </w:tc>
        <w:tc>
          <w:tcPr>
            <w:tcW w:w="567" w:type="dxa"/>
          </w:tcPr>
          <w:p w:rsidR="0058037F" w:rsidRPr="0058037F" w:rsidRDefault="0058037F" w:rsidP="0058037F">
            <w:pPr>
              <w:rPr>
                <w:rStyle w:val="Hyperlink"/>
                <w:rFonts w:hint="cs"/>
                <w:rtl/>
              </w:rPr>
            </w:pPr>
            <w:hyperlink w:anchor="Seif5" w:tooltip="עבירה מינהלית חוזר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6 </w:t>
            </w:r>
          </w:p>
        </w:tc>
        <w:tc>
          <w:tcPr>
            <w:tcW w:w="5669" w:type="dxa"/>
          </w:tcPr>
          <w:p w:rsidR="0058037F" w:rsidRPr="0058037F" w:rsidRDefault="0058037F" w:rsidP="0058037F">
            <w:pPr>
              <w:rPr>
                <w:rFonts w:cs="Frankruhel" w:hint="cs"/>
                <w:rtl/>
              </w:rPr>
            </w:pPr>
            <w:r>
              <w:rPr>
                <w:rtl/>
              </w:rPr>
              <w:t>עבירה מינהלית נמשכת</w:t>
            </w:r>
          </w:p>
        </w:tc>
        <w:tc>
          <w:tcPr>
            <w:tcW w:w="567" w:type="dxa"/>
          </w:tcPr>
          <w:p w:rsidR="0058037F" w:rsidRPr="0058037F" w:rsidRDefault="0058037F" w:rsidP="0058037F">
            <w:pPr>
              <w:rPr>
                <w:rStyle w:val="Hyperlink"/>
                <w:rFonts w:hint="cs"/>
                <w:rtl/>
              </w:rPr>
            </w:pPr>
            <w:hyperlink w:anchor="Seif6" w:tooltip="עבירה מינהלית נמשכ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7 </w:t>
            </w:r>
          </w:p>
        </w:tc>
        <w:tc>
          <w:tcPr>
            <w:tcW w:w="5669" w:type="dxa"/>
          </w:tcPr>
          <w:p w:rsidR="0058037F" w:rsidRPr="0058037F" w:rsidRDefault="0058037F" w:rsidP="0058037F">
            <w:pPr>
              <w:rPr>
                <w:rFonts w:cs="Frankruhel" w:hint="cs"/>
                <w:rtl/>
              </w:rPr>
            </w:pPr>
            <w:r>
              <w:rPr>
                <w:rtl/>
              </w:rPr>
              <w:t>הגורם המוסמך להטלת קנס מינהלי</w:t>
            </w:r>
          </w:p>
        </w:tc>
        <w:tc>
          <w:tcPr>
            <w:tcW w:w="567" w:type="dxa"/>
          </w:tcPr>
          <w:p w:rsidR="0058037F" w:rsidRPr="0058037F" w:rsidRDefault="0058037F" w:rsidP="0058037F">
            <w:pPr>
              <w:rPr>
                <w:rStyle w:val="Hyperlink"/>
                <w:rFonts w:hint="cs"/>
                <w:rtl/>
              </w:rPr>
            </w:pPr>
            <w:hyperlink w:anchor="Seif7" w:tooltip="הגורם המוסמך להטלת קנס מינהלי"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8 </w:t>
            </w:r>
          </w:p>
        </w:tc>
        <w:tc>
          <w:tcPr>
            <w:tcW w:w="5669" w:type="dxa"/>
          </w:tcPr>
          <w:p w:rsidR="0058037F" w:rsidRPr="0058037F" w:rsidRDefault="0058037F" w:rsidP="0058037F">
            <w:pPr>
              <w:rPr>
                <w:rFonts w:cs="Frankruhel" w:hint="cs"/>
                <w:rtl/>
              </w:rPr>
            </w:pPr>
            <w:r>
              <w:rPr>
                <w:rtl/>
              </w:rPr>
              <w:t>סמכויות נלוות</w:t>
            </w:r>
          </w:p>
        </w:tc>
        <w:tc>
          <w:tcPr>
            <w:tcW w:w="567" w:type="dxa"/>
          </w:tcPr>
          <w:p w:rsidR="0058037F" w:rsidRPr="0058037F" w:rsidRDefault="0058037F" w:rsidP="0058037F">
            <w:pPr>
              <w:rPr>
                <w:rStyle w:val="Hyperlink"/>
                <w:rFonts w:hint="cs"/>
                <w:rtl/>
              </w:rPr>
            </w:pPr>
            <w:hyperlink w:anchor="Seif8" w:tooltip="סמכויות נלוו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9 </w:t>
            </w:r>
          </w:p>
        </w:tc>
        <w:tc>
          <w:tcPr>
            <w:tcW w:w="5669" w:type="dxa"/>
          </w:tcPr>
          <w:p w:rsidR="0058037F" w:rsidRPr="0058037F" w:rsidRDefault="0058037F" w:rsidP="0058037F">
            <w:pPr>
              <w:rPr>
                <w:rFonts w:cs="Frankruhel" w:hint="cs"/>
                <w:rtl/>
              </w:rPr>
            </w:pPr>
            <w:r>
              <w:rPr>
                <w:rtl/>
              </w:rPr>
              <w:t>תיקון צו העבירות המינהליות</w:t>
            </w:r>
          </w:p>
        </w:tc>
        <w:tc>
          <w:tcPr>
            <w:tcW w:w="567" w:type="dxa"/>
          </w:tcPr>
          <w:p w:rsidR="0058037F" w:rsidRPr="0058037F" w:rsidRDefault="0058037F" w:rsidP="0058037F">
            <w:pPr>
              <w:rPr>
                <w:rStyle w:val="Hyperlink"/>
                <w:rFonts w:hint="cs"/>
                <w:rtl/>
              </w:rPr>
            </w:pPr>
            <w:hyperlink w:anchor="Seif13" w:tooltip="תיקון צו העבירות המינהליו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10 </w:t>
            </w:r>
          </w:p>
        </w:tc>
        <w:tc>
          <w:tcPr>
            <w:tcW w:w="5669" w:type="dxa"/>
          </w:tcPr>
          <w:p w:rsidR="0058037F" w:rsidRPr="0058037F" w:rsidRDefault="0058037F" w:rsidP="0058037F">
            <w:pPr>
              <w:rPr>
                <w:rFonts w:cs="Frankruhel" w:hint="cs"/>
                <w:rtl/>
              </w:rPr>
            </w:pPr>
            <w:r>
              <w:rPr>
                <w:rtl/>
              </w:rPr>
              <w:t>תיקון תקנון המועצות המקומיות</w:t>
            </w:r>
          </w:p>
        </w:tc>
        <w:tc>
          <w:tcPr>
            <w:tcW w:w="567" w:type="dxa"/>
          </w:tcPr>
          <w:p w:rsidR="0058037F" w:rsidRPr="0058037F" w:rsidRDefault="0058037F" w:rsidP="0058037F">
            <w:pPr>
              <w:rPr>
                <w:rStyle w:val="Hyperlink"/>
                <w:rFonts w:hint="cs"/>
                <w:rtl/>
              </w:rPr>
            </w:pPr>
            <w:hyperlink w:anchor="Seif9" w:tooltip="תיקון תקנון המועצות המקומיו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11 </w:t>
            </w:r>
          </w:p>
        </w:tc>
        <w:tc>
          <w:tcPr>
            <w:tcW w:w="5669" w:type="dxa"/>
          </w:tcPr>
          <w:p w:rsidR="0058037F" w:rsidRPr="0058037F" w:rsidRDefault="0058037F" w:rsidP="0058037F">
            <w:pPr>
              <w:rPr>
                <w:rFonts w:cs="Frankruhel" w:hint="cs"/>
                <w:rtl/>
              </w:rPr>
            </w:pPr>
            <w:r>
              <w:rPr>
                <w:rtl/>
              </w:rPr>
              <w:t>תחילת תוקף</w:t>
            </w:r>
          </w:p>
        </w:tc>
        <w:tc>
          <w:tcPr>
            <w:tcW w:w="567" w:type="dxa"/>
          </w:tcPr>
          <w:p w:rsidR="0058037F" w:rsidRPr="0058037F" w:rsidRDefault="0058037F" w:rsidP="0058037F">
            <w:pPr>
              <w:rPr>
                <w:rStyle w:val="Hyperlink"/>
                <w:rFonts w:hint="cs"/>
                <w:rtl/>
              </w:rPr>
            </w:pPr>
            <w:hyperlink w:anchor="Seif10" w:tooltip="תחילת תוקף"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r>
              <w:rPr>
                <w:rtl/>
              </w:rPr>
              <w:t xml:space="preserve">סעיף 12 </w:t>
            </w:r>
          </w:p>
        </w:tc>
        <w:tc>
          <w:tcPr>
            <w:tcW w:w="5669" w:type="dxa"/>
          </w:tcPr>
          <w:p w:rsidR="0058037F" w:rsidRPr="0058037F" w:rsidRDefault="0058037F" w:rsidP="0058037F">
            <w:pPr>
              <w:rPr>
                <w:rFonts w:cs="Frankruhel" w:hint="cs"/>
                <w:rtl/>
              </w:rPr>
            </w:pPr>
            <w:r>
              <w:rPr>
                <w:rtl/>
              </w:rPr>
              <w:t>השם</w:t>
            </w:r>
          </w:p>
        </w:tc>
        <w:tc>
          <w:tcPr>
            <w:tcW w:w="567" w:type="dxa"/>
          </w:tcPr>
          <w:p w:rsidR="0058037F" w:rsidRPr="0058037F" w:rsidRDefault="0058037F" w:rsidP="0058037F">
            <w:pPr>
              <w:rPr>
                <w:rStyle w:val="Hyperlink"/>
                <w:rFonts w:hint="cs"/>
                <w:rtl/>
              </w:rPr>
            </w:pPr>
            <w:hyperlink w:anchor="Seif11" w:tooltip="השם"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58037F" w:rsidRPr="0058037F" w:rsidTr="0058037F">
        <w:tblPrEx>
          <w:tblCellMar>
            <w:top w:w="0" w:type="dxa"/>
            <w:bottom w:w="0" w:type="dxa"/>
          </w:tblCellMar>
        </w:tblPrEx>
        <w:tc>
          <w:tcPr>
            <w:tcW w:w="1247" w:type="dxa"/>
          </w:tcPr>
          <w:p w:rsidR="0058037F" w:rsidRPr="0058037F" w:rsidRDefault="0058037F" w:rsidP="0058037F">
            <w:pPr>
              <w:rPr>
                <w:rFonts w:cs="Frankruhel" w:hint="cs"/>
                <w:rtl/>
              </w:rPr>
            </w:pPr>
          </w:p>
        </w:tc>
        <w:tc>
          <w:tcPr>
            <w:tcW w:w="5669" w:type="dxa"/>
          </w:tcPr>
          <w:p w:rsidR="0058037F" w:rsidRPr="0058037F" w:rsidRDefault="0058037F" w:rsidP="0058037F">
            <w:pPr>
              <w:rPr>
                <w:rFonts w:cs="Frankruhel" w:hint="cs"/>
                <w:rtl/>
              </w:rPr>
            </w:pPr>
            <w:r>
              <w:rPr>
                <w:rtl/>
              </w:rPr>
              <w:t>תוספת</w:t>
            </w:r>
          </w:p>
        </w:tc>
        <w:tc>
          <w:tcPr>
            <w:tcW w:w="567" w:type="dxa"/>
          </w:tcPr>
          <w:p w:rsidR="0058037F" w:rsidRPr="0058037F" w:rsidRDefault="0058037F" w:rsidP="0058037F">
            <w:pPr>
              <w:rPr>
                <w:rStyle w:val="Hyperlink"/>
                <w:rFonts w:hint="cs"/>
                <w:rtl/>
              </w:rPr>
            </w:pPr>
            <w:hyperlink w:anchor="med0" w:tooltip="תוספת" w:history="1">
              <w:r w:rsidRPr="0058037F">
                <w:rPr>
                  <w:rStyle w:val="Hyperlink"/>
                </w:rPr>
                <w:t>Go</w:t>
              </w:r>
            </w:hyperlink>
          </w:p>
        </w:tc>
        <w:tc>
          <w:tcPr>
            <w:tcW w:w="850" w:type="dxa"/>
          </w:tcPr>
          <w:p w:rsidR="0058037F" w:rsidRPr="0058037F" w:rsidRDefault="0058037F" w:rsidP="0058037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965A9D" w:rsidP="00923799">
      <w:pPr>
        <w:pStyle w:val="big-header"/>
        <w:ind w:left="0" w:right="1134"/>
        <w:rPr>
          <w:rStyle w:val="default"/>
          <w:rFonts w:hint="cs"/>
          <w:sz w:val="22"/>
          <w:szCs w:val="22"/>
          <w:rtl/>
        </w:rPr>
      </w:pPr>
      <w:r w:rsidRPr="00965A9D">
        <w:rPr>
          <w:rFonts w:cs="FrankRuehl" w:hint="cs"/>
          <w:sz w:val="32"/>
          <w:rtl/>
        </w:rPr>
        <w:t xml:space="preserve"> </w:t>
      </w:r>
      <w:bookmarkStart w:id="0" w:name="_Hlk79476694"/>
      <w:r w:rsidR="005A4735" w:rsidRPr="005A4735">
        <w:rPr>
          <w:rFonts w:cs="FrankRuehl" w:hint="cs"/>
          <w:sz w:val="32"/>
          <w:rtl/>
        </w:rPr>
        <w:t>צו בדבר אכיפה (נגיף הקורונה) (יהודה ושומרון) (מס' 2063) (הוראת שעה), תשפ"א-2021</w:t>
      </w:r>
      <w:bookmarkEnd w:id="0"/>
      <w:r w:rsidR="002053AF">
        <w:rPr>
          <w:rStyle w:val="default"/>
          <w:sz w:val="22"/>
          <w:szCs w:val="22"/>
          <w:rtl/>
        </w:rPr>
        <w:footnoteReference w:customMarkFollows="1" w:id="1"/>
        <w:t>*</w:t>
      </w:r>
    </w:p>
    <w:p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E4941">
        <w:rPr>
          <w:rStyle w:val="default"/>
          <w:rFonts w:cs="FrankRuehl" w:hint="cs"/>
          <w:rtl/>
        </w:rPr>
        <w:t>כמפקד כוחות צה"ל באזור, ובהיותי סבור כי הדבר נחוץ לטובת האזור ולבריאות הציבור, הנני מצווה בזאת לאמור</w:t>
      </w:r>
      <w:r>
        <w:rPr>
          <w:rStyle w:val="default"/>
          <w:rFonts w:cs="FrankRuehl" w:hint="cs"/>
          <w:rtl/>
        </w:rPr>
        <w:t>:</w:t>
      </w:r>
    </w:p>
    <w:p w:rsidR="002053AF" w:rsidRDefault="002053AF" w:rsidP="00023674">
      <w:pPr>
        <w:pStyle w:val="P00"/>
        <w:spacing w:before="72"/>
        <w:ind w:left="0" w:right="1134"/>
        <w:rPr>
          <w:rStyle w:val="default"/>
          <w:rFonts w:cs="FrankRuehl"/>
          <w:rtl/>
        </w:rPr>
      </w:pPr>
      <w:bookmarkStart w:id="1" w:name="Seif1"/>
      <w:bookmarkEnd w:id="1"/>
      <w:r>
        <w:rPr>
          <w:rFonts w:cs="Miriam"/>
          <w:lang w:val="he-IL"/>
        </w:rPr>
        <w:pict>
          <v:rect id="_x0000_s2050" style="position:absolute;left:0;text-align:left;margin-left:468pt;margin-top:7.1pt;width:71.4pt;height:11.85pt;z-index:251651584" o:allowincell="f" filled="f" stroked="f" strokecolor="lime" strokeweight=".25pt">
            <v:textbox style="mso-next-textbox:#_x0000_s2050" inset="0,0,0,0">
              <w:txbxContent>
                <w:p w:rsidR="00636CFA" w:rsidRDefault="00DE4941">
                  <w:pPr>
                    <w:spacing w:line="160" w:lineRule="exact"/>
                    <w:rPr>
                      <w:rFonts w:cs="Miriam"/>
                      <w:sz w:val="18"/>
                      <w:szCs w:val="18"/>
                      <w:rtl/>
                    </w:rPr>
                  </w:pPr>
                  <w:r>
                    <w:rPr>
                      <w:rFonts w:cs="Miriam" w:hint="cs"/>
                      <w:sz w:val="18"/>
                      <w:szCs w:val="18"/>
                      <w:rtl/>
                    </w:rPr>
                    <w:t>עבירות פליליות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B4D34">
        <w:rPr>
          <w:rStyle w:val="default"/>
          <w:rFonts w:cs="FrankRuehl" w:hint="cs"/>
          <w:rtl/>
        </w:rPr>
        <w:t xml:space="preserve">העובר על הוראות סעיפים 2(ד) </w:t>
      </w:r>
      <w:r w:rsidR="0094672A">
        <w:rPr>
          <w:rStyle w:val="default"/>
          <w:rFonts w:cs="FrankRuehl" w:hint="cs"/>
          <w:rtl/>
        </w:rPr>
        <w:t>ו-</w:t>
      </w:r>
      <w:r w:rsidR="008B4D34">
        <w:rPr>
          <w:rStyle w:val="default"/>
          <w:rFonts w:cs="FrankRuehl" w:hint="cs"/>
          <w:rtl/>
        </w:rPr>
        <w:t xml:space="preserve">3 להוראת בריאות הציבור (נגיף הקורונה) (בידוד בית והוראות שונות) (הוראת שעה), </w:t>
      </w:r>
      <w:r w:rsidR="0094672A">
        <w:rPr>
          <w:rStyle w:val="default"/>
          <w:rFonts w:cs="FrankRuehl" w:hint="cs"/>
          <w:rtl/>
        </w:rPr>
        <w:t>התשפ"א-2021</w:t>
      </w:r>
      <w:r w:rsidR="008B4D34">
        <w:rPr>
          <w:rStyle w:val="default"/>
          <w:rFonts w:cs="FrankRuehl" w:hint="cs"/>
          <w:rtl/>
        </w:rPr>
        <w:t xml:space="preserve"> (להלן </w:t>
      </w:r>
      <w:r w:rsidR="008B4D34">
        <w:rPr>
          <w:rStyle w:val="default"/>
          <w:rFonts w:cs="FrankRuehl"/>
          <w:rtl/>
        </w:rPr>
        <w:t>–</w:t>
      </w:r>
      <w:r w:rsidR="008B4D34">
        <w:rPr>
          <w:rStyle w:val="default"/>
          <w:rFonts w:cs="FrankRuehl" w:hint="cs"/>
          <w:rtl/>
        </w:rPr>
        <w:t xml:space="preserve"> הוראת </w:t>
      </w:r>
      <w:r w:rsidR="0094672A">
        <w:rPr>
          <w:rStyle w:val="default"/>
          <w:rFonts w:cs="FrankRuehl" w:hint="cs"/>
          <w:rtl/>
        </w:rPr>
        <w:t>בידוד בית</w:t>
      </w:r>
      <w:r w:rsidR="008B4D34">
        <w:rPr>
          <w:rStyle w:val="default"/>
          <w:rFonts w:cs="FrankRuehl" w:hint="cs"/>
          <w:rtl/>
        </w:rPr>
        <w:t xml:space="preserve">), דינו </w:t>
      </w:r>
      <w:r w:rsidR="008B4D34">
        <w:rPr>
          <w:rStyle w:val="default"/>
          <w:rFonts w:cs="FrankRuehl"/>
          <w:rtl/>
        </w:rPr>
        <w:t>–</w:t>
      </w:r>
      <w:r w:rsidR="008B4D34">
        <w:rPr>
          <w:rStyle w:val="default"/>
          <w:rFonts w:cs="FrankRuehl" w:hint="cs"/>
          <w:rtl/>
        </w:rPr>
        <w:t xml:space="preserve"> קנס לפי סעיף 1(א)(1) לצו בדבר העלאת קנסות שנקבעו בדין או בתחיקת ביטחון (יהודה ושומרון) (מס' 845), תש"ם-1980 (להלן </w:t>
      </w:r>
      <w:r w:rsidR="008B4D34">
        <w:rPr>
          <w:rStyle w:val="default"/>
          <w:rFonts w:cs="FrankRuehl"/>
          <w:rtl/>
        </w:rPr>
        <w:t>–</w:t>
      </w:r>
      <w:r w:rsidR="008B4D34">
        <w:rPr>
          <w:rStyle w:val="default"/>
          <w:rFonts w:cs="FrankRuehl" w:hint="cs"/>
          <w:rtl/>
        </w:rPr>
        <w:t xml:space="preserve"> צו העלאת קנסות).</w:t>
      </w:r>
    </w:p>
    <w:p w:rsidR="002053AF" w:rsidRDefault="002053AF" w:rsidP="00317907">
      <w:pPr>
        <w:pStyle w:val="P00"/>
        <w:spacing w:before="72"/>
        <w:ind w:left="0" w:right="1134"/>
        <w:rPr>
          <w:rStyle w:val="big-number"/>
          <w:rFonts w:cs="FrankRuehl"/>
          <w:sz w:val="26"/>
          <w:szCs w:val="26"/>
          <w:rtl/>
        </w:rPr>
      </w:pPr>
      <w:bookmarkStart w:id="2" w:name="Seif3"/>
      <w:bookmarkEnd w:id="2"/>
      <w:r>
        <w:rPr>
          <w:rFonts w:cs="Miriam"/>
          <w:szCs w:val="32"/>
          <w:rtl/>
          <w:lang w:val="he-IL"/>
        </w:rPr>
        <w:pict>
          <v:shapetype id="_x0000_t202" coordsize="21600,21600" o:spt="202" path="m,l,21600r21600,l21600,xe">
            <v:stroke joinstyle="miter"/>
            <v:path gradientshapeok="t" o:connecttype="rect"/>
          </v:shapetype>
          <v:shape id="_x0000_s2378" type="#_x0000_t202" style="position:absolute;left:0;text-align:left;margin-left:470.35pt;margin-top:7.1pt;width:1in;height:21.2pt;z-index:251653632" filled="f" stroked="f">
            <v:textbox inset="1mm,0,1mm,0">
              <w:txbxContent>
                <w:p w:rsidR="00887B67" w:rsidRDefault="008B4D34" w:rsidP="00887B67">
                  <w:pPr>
                    <w:spacing w:line="160" w:lineRule="exact"/>
                    <w:rPr>
                      <w:rFonts w:cs="Miriam"/>
                      <w:noProof/>
                      <w:sz w:val="18"/>
                      <w:szCs w:val="18"/>
                      <w:rtl/>
                    </w:rPr>
                  </w:pPr>
                  <w:r>
                    <w:rPr>
                      <w:rFonts w:cs="Miriam" w:hint="cs"/>
                      <w:sz w:val="18"/>
                      <w:szCs w:val="18"/>
                      <w:rtl/>
                    </w:rPr>
                    <w:t>פיזור התקהלות או התכנסות</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8B4D34">
        <w:rPr>
          <w:rStyle w:val="big-number"/>
          <w:rFonts w:cs="FrankRuehl" w:hint="cs"/>
          <w:sz w:val="26"/>
          <w:szCs w:val="26"/>
          <w:rtl/>
        </w:rPr>
        <w:t xml:space="preserve">שוטר כהגדרתו בצו בדבר הוראות ביטחון [נוסח משולב] (יהודה ושומרון) (מס' 1651), </w:t>
      </w:r>
      <w:r w:rsidR="0094672A">
        <w:rPr>
          <w:rStyle w:val="big-number"/>
          <w:rFonts w:cs="FrankRuehl" w:hint="cs"/>
          <w:sz w:val="26"/>
          <w:szCs w:val="26"/>
          <w:rtl/>
        </w:rPr>
        <w:t>ה</w:t>
      </w:r>
      <w:r w:rsidR="008B4D34">
        <w:rPr>
          <w:rStyle w:val="big-number"/>
          <w:rFonts w:cs="FrankRuehl" w:hint="cs"/>
          <w:sz w:val="26"/>
          <w:szCs w:val="26"/>
          <w:rtl/>
        </w:rPr>
        <w:t xml:space="preserve">תש"ע-2009 (להלן </w:t>
      </w:r>
      <w:r w:rsidR="008B4D34">
        <w:rPr>
          <w:rStyle w:val="big-number"/>
          <w:rFonts w:cs="FrankRuehl"/>
          <w:sz w:val="26"/>
          <w:szCs w:val="26"/>
          <w:rtl/>
        </w:rPr>
        <w:t>–</w:t>
      </w:r>
      <w:r w:rsidR="008B4D34">
        <w:rPr>
          <w:rStyle w:val="big-number"/>
          <w:rFonts w:cs="FrankRuehl" w:hint="cs"/>
          <w:sz w:val="26"/>
          <w:szCs w:val="26"/>
          <w:rtl/>
        </w:rPr>
        <w:t xml:space="preserve"> שוטר) רשאי להורות על התפזרות התקהלות או התכנסות בין-לאומית שנעשית בניגוד לסעיף 3א להוראת </w:t>
      </w:r>
      <w:r w:rsidR="0094672A">
        <w:rPr>
          <w:rStyle w:val="big-number"/>
          <w:rFonts w:cs="FrankRuehl" w:hint="cs"/>
          <w:sz w:val="26"/>
          <w:szCs w:val="26"/>
          <w:rtl/>
        </w:rPr>
        <w:t>בידוד בית</w:t>
      </w:r>
      <w:r w:rsidR="007663DC" w:rsidRPr="007663DC">
        <w:rPr>
          <w:rStyle w:val="big-number"/>
          <w:rFonts w:cs="FrankRuehl" w:hint="cs"/>
          <w:sz w:val="26"/>
          <w:szCs w:val="26"/>
          <w:rtl/>
        </w:rPr>
        <w:t>, ובלבד שלא יהיה בכך כדי לאפשר כל פגיעה בהפגנה שעמדה בתנאים שנקבעו באותו סעיף</w:t>
      </w:r>
      <w:r w:rsidR="008B4D34">
        <w:rPr>
          <w:rStyle w:val="big-number"/>
          <w:rFonts w:cs="FrankRuehl" w:hint="cs"/>
          <w:sz w:val="26"/>
          <w:szCs w:val="26"/>
          <w:rtl/>
        </w:rPr>
        <w:t>; סירב אדם להוראת שוטר על התפזרות כאמור, רשאי שוטר לעשות שימוש בכוח סביר לשם פיזור ההתקהלות</w:t>
      </w:r>
      <w:r w:rsidR="00926CEE">
        <w:rPr>
          <w:rStyle w:val="big-number"/>
          <w:rFonts w:cs="FrankRuehl" w:hint="cs"/>
          <w:sz w:val="26"/>
          <w:szCs w:val="26"/>
          <w:rtl/>
        </w:rPr>
        <w:t>.</w:t>
      </w:r>
    </w:p>
    <w:p w:rsidR="008B4D34" w:rsidRDefault="008B4D34"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 xml:space="preserve">מי שסירב להוראות שוטר כאמור בסעיף משנה (א), דינו </w:t>
      </w:r>
      <w:r>
        <w:rPr>
          <w:rStyle w:val="big-number"/>
          <w:rFonts w:cs="FrankRuehl"/>
          <w:sz w:val="26"/>
          <w:szCs w:val="26"/>
          <w:rtl/>
        </w:rPr>
        <w:t>–</w:t>
      </w:r>
      <w:r>
        <w:rPr>
          <w:rStyle w:val="big-number"/>
          <w:rFonts w:cs="FrankRuehl" w:hint="cs"/>
          <w:sz w:val="26"/>
          <w:szCs w:val="26"/>
          <w:rtl/>
        </w:rPr>
        <w:t xml:space="preserve"> קנס לפי סעיף 1(א)(1) לצו העלאת קנסות.</w:t>
      </w:r>
    </w:p>
    <w:p w:rsidR="005B20B5" w:rsidRDefault="005B20B5" w:rsidP="005B20B5">
      <w:pPr>
        <w:pStyle w:val="P00"/>
        <w:spacing w:before="72"/>
        <w:ind w:left="0" w:right="1134"/>
        <w:rPr>
          <w:rStyle w:val="big-number"/>
          <w:rFonts w:cs="FrankRuehl"/>
          <w:sz w:val="26"/>
          <w:szCs w:val="26"/>
          <w:rtl/>
        </w:rPr>
      </w:pPr>
      <w:bookmarkStart w:id="3" w:name="Seif12"/>
      <w:bookmarkEnd w:id="3"/>
      <w:r>
        <w:rPr>
          <w:rFonts w:cs="Miriam"/>
          <w:szCs w:val="32"/>
          <w:rtl/>
          <w:lang w:val="he-IL"/>
        </w:rPr>
        <w:pict>
          <v:shape id="_x0000_s2527" type="#_x0000_t202" style="position:absolute;left:0;text-align:left;margin-left:470.35pt;margin-top:7.1pt;width:1in;height:13.45pt;z-index:251662848" filled="f" stroked="f">
            <v:textbox inset="1mm,0,1mm,0">
              <w:txbxContent>
                <w:p w:rsidR="005B20B5" w:rsidRDefault="00507CDB" w:rsidP="005B20B5">
                  <w:pPr>
                    <w:spacing w:line="160" w:lineRule="exact"/>
                    <w:rPr>
                      <w:rFonts w:cs="Miriam"/>
                      <w:noProof/>
                      <w:sz w:val="18"/>
                      <w:szCs w:val="18"/>
                      <w:rtl/>
                    </w:rPr>
                  </w:pPr>
                  <w:r>
                    <w:rPr>
                      <w:rFonts w:cs="Miriam" w:hint="cs"/>
                      <w:sz w:val="18"/>
                      <w:szCs w:val="18"/>
                      <w:rtl/>
                    </w:rPr>
                    <w:t>אי-</w:t>
                  </w:r>
                  <w:r w:rsidR="004324C9">
                    <w:rPr>
                      <w:rFonts w:cs="Miriam" w:hint="cs"/>
                      <w:sz w:val="18"/>
                      <w:szCs w:val="18"/>
                      <w:rtl/>
                    </w:rPr>
                    <w:t>עטיית</w:t>
                  </w:r>
                  <w:r>
                    <w:rPr>
                      <w:rFonts w:cs="Miriam" w:hint="cs"/>
                      <w:sz w:val="18"/>
                      <w:szCs w:val="18"/>
                      <w:rtl/>
                    </w:rPr>
                    <w:t xml:space="preserve"> מסכ</w:t>
                  </w:r>
                  <w:r w:rsidR="004324C9">
                    <w:rPr>
                      <w:rFonts w:cs="Miriam" w:hint="cs"/>
                      <w:sz w:val="18"/>
                      <w:szCs w:val="18"/>
                      <w:rtl/>
                    </w:rPr>
                    <w:t>ה</w:t>
                  </w:r>
                </w:p>
              </w:txbxContent>
            </v:textbox>
          </v:shape>
        </w:pict>
      </w:r>
      <w:r>
        <w:rPr>
          <w:rStyle w:val="big-number"/>
          <w:rFonts w:cs="Miriam" w:hint="cs"/>
          <w:rtl/>
        </w:rPr>
        <w:t>2</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sidR="004324C9">
        <w:rPr>
          <w:rStyle w:val="big-number"/>
          <w:rFonts w:cs="FrankRuehl" w:hint="cs"/>
          <w:sz w:val="26"/>
          <w:szCs w:val="26"/>
          <w:rtl/>
        </w:rPr>
        <w:t>שוהה במקום שאינו</w:t>
      </w:r>
      <w:r w:rsidR="0094672A">
        <w:rPr>
          <w:rStyle w:val="big-number"/>
          <w:rFonts w:cs="FrankRuehl" w:hint="cs"/>
          <w:sz w:val="26"/>
          <w:szCs w:val="26"/>
          <w:rtl/>
        </w:rPr>
        <w:t xml:space="preserve"> שטח פתוח, למעט</w:t>
      </w:r>
      <w:r w:rsidR="004324C9">
        <w:rPr>
          <w:rStyle w:val="big-number"/>
          <w:rFonts w:cs="FrankRuehl" w:hint="cs"/>
          <w:sz w:val="26"/>
          <w:szCs w:val="26"/>
          <w:rtl/>
        </w:rPr>
        <w:t xml:space="preserve"> </w:t>
      </w:r>
      <w:r w:rsidR="0094672A">
        <w:rPr>
          <w:rStyle w:val="big-number"/>
          <w:rFonts w:cs="FrankRuehl" w:hint="cs"/>
          <w:sz w:val="26"/>
          <w:szCs w:val="26"/>
          <w:rtl/>
        </w:rPr>
        <w:t>ב</w:t>
      </w:r>
      <w:r w:rsidR="004324C9">
        <w:rPr>
          <w:rStyle w:val="big-number"/>
          <w:rFonts w:cs="FrankRuehl" w:hint="cs"/>
          <w:sz w:val="26"/>
          <w:szCs w:val="26"/>
          <w:rtl/>
        </w:rPr>
        <w:t>מקום מגוריו</w:t>
      </w:r>
      <w:r w:rsidR="0094672A">
        <w:rPr>
          <w:rStyle w:val="big-number"/>
          <w:rFonts w:cs="FrankRuehl" w:hint="cs"/>
          <w:sz w:val="26"/>
          <w:szCs w:val="26"/>
          <w:rtl/>
        </w:rPr>
        <w:t>,</w:t>
      </w:r>
      <w:r w:rsidR="004324C9">
        <w:rPr>
          <w:rStyle w:val="big-number"/>
          <w:rFonts w:cs="FrankRuehl" w:hint="cs"/>
          <w:sz w:val="26"/>
          <w:szCs w:val="26"/>
          <w:rtl/>
        </w:rPr>
        <w:t xml:space="preserve"> בלי </w:t>
      </w:r>
      <w:r w:rsidR="0094672A">
        <w:rPr>
          <w:rStyle w:val="big-number"/>
          <w:rFonts w:cs="FrankRuehl" w:hint="cs"/>
          <w:sz w:val="26"/>
          <w:szCs w:val="26"/>
          <w:rtl/>
        </w:rPr>
        <w:t xml:space="preserve">שהוא עוטה </w:t>
      </w:r>
      <w:r w:rsidR="004324C9">
        <w:rPr>
          <w:rStyle w:val="big-number"/>
          <w:rFonts w:cs="FrankRuehl" w:hint="cs"/>
          <w:sz w:val="26"/>
          <w:szCs w:val="26"/>
          <w:rtl/>
        </w:rPr>
        <w:t>מסכה, בניגוד להוראת סעיף 3</w:t>
      </w:r>
      <w:r w:rsidR="0094672A">
        <w:rPr>
          <w:rStyle w:val="big-number"/>
          <w:rFonts w:cs="FrankRuehl" w:hint="cs"/>
          <w:sz w:val="26"/>
          <w:szCs w:val="26"/>
          <w:rtl/>
        </w:rPr>
        <w:t>ג</w:t>
      </w:r>
      <w:r w:rsidR="004324C9">
        <w:rPr>
          <w:rStyle w:val="big-number"/>
          <w:rFonts w:cs="FrankRuehl" w:hint="cs"/>
          <w:sz w:val="26"/>
          <w:szCs w:val="26"/>
          <w:rtl/>
        </w:rPr>
        <w:t xml:space="preserve">(א) להוראת </w:t>
      </w:r>
      <w:r w:rsidR="0094672A">
        <w:rPr>
          <w:rStyle w:val="big-number"/>
          <w:rFonts w:cs="FrankRuehl" w:hint="cs"/>
          <w:sz w:val="26"/>
          <w:szCs w:val="26"/>
          <w:rtl/>
        </w:rPr>
        <w:t>בידוד בית</w:t>
      </w:r>
      <w:r w:rsidR="004324C9">
        <w:rPr>
          <w:rStyle w:val="big-number"/>
          <w:rFonts w:cs="FrankRuehl" w:hint="cs"/>
          <w:sz w:val="26"/>
          <w:szCs w:val="26"/>
          <w:rtl/>
        </w:rPr>
        <w:t xml:space="preserve">, דינו </w:t>
      </w:r>
      <w:r w:rsidR="004324C9">
        <w:rPr>
          <w:rStyle w:val="big-number"/>
          <w:rFonts w:cs="FrankRuehl"/>
          <w:sz w:val="26"/>
          <w:szCs w:val="26"/>
          <w:rtl/>
        </w:rPr>
        <w:t>–</w:t>
      </w:r>
      <w:r w:rsidR="004324C9">
        <w:rPr>
          <w:rStyle w:val="big-number"/>
          <w:rFonts w:cs="FrankRuehl" w:hint="cs"/>
          <w:sz w:val="26"/>
          <w:szCs w:val="26"/>
          <w:rtl/>
        </w:rPr>
        <w:t xml:space="preserve"> קנס לפי סעיף 1(א)(1) לצו העלאת קנסות.</w:t>
      </w:r>
    </w:p>
    <w:p w:rsidR="001F398C" w:rsidRDefault="001956C4" w:rsidP="00317907">
      <w:pPr>
        <w:pStyle w:val="P00"/>
        <w:spacing w:before="72"/>
        <w:ind w:left="0" w:right="1134"/>
        <w:rPr>
          <w:rStyle w:val="default"/>
          <w:rFonts w:cs="FrankRuehl"/>
          <w:rtl/>
        </w:rPr>
      </w:pPr>
      <w:bookmarkStart w:id="4" w:name="Seif4"/>
      <w:bookmarkEnd w:id="4"/>
      <w:r>
        <w:rPr>
          <w:rFonts w:cs="Miriam" w:hint="cs"/>
          <w:sz w:val="32"/>
          <w:szCs w:val="32"/>
          <w:rtl/>
          <w:lang w:eastAsia="en-US"/>
        </w:rPr>
        <w:pict>
          <v:shape id="_x0000_s2385" type="#_x0000_t202" style="position:absolute;left:0;text-align:left;margin-left:470.35pt;margin-top:7.1pt;width:1in;height:13.55pt;z-index:251654656" filled="f" stroked="f">
            <v:textbox inset="1mm,0,1mm,0">
              <w:txbxContent>
                <w:p w:rsidR="006B5F71" w:rsidRDefault="008B4D34" w:rsidP="001D326B">
                  <w:pPr>
                    <w:spacing w:line="160" w:lineRule="exact"/>
                    <w:rPr>
                      <w:rFonts w:cs="Miriam" w:hint="cs"/>
                      <w:sz w:val="18"/>
                      <w:szCs w:val="18"/>
                      <w:rtl/>
                    </w:rPr>
                  </w:pPr>
                  <w:r>
                    <w:rPr>
                      <w:rFonts w:cs="Miriam" w:hint="cs"/>
                      <w:sz w:val="18"/>
                      <w:szCs w:val="18"/>
                      <w:rtl/>
                    </w:rPr>
                    <w:t>עבירות מינהליות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8B4D34">
        <w:rPr>
          <w:rStyle w:val="default"/>
          <w:rFonts w:cs="FrankRuehl" w:hint="cs"/>
          <w:rtl/>
        </w:rPr>
        <w:t xml:space="preserve">עבירה על הוראה מההוראות המפורטות בטור א' שבתוספת לצו זה, היא עבירה מינהלית כמשמעותה בצו בדבר עבירות מינהליות (יהודה ושומרון) (מס' 1263), תשמ"ט-1988 (להלן </w:t>
      </w:r>
      <w:r w:rsidR="008B4D34">
        <w:rPr>
          <w:rStyle w:val="default"/>
          <w:rFonts w:cs="FrankRuehl"/>
          <w:rtl/>
        </w:rPr>
        <w:t>–</w:t>
      </w:r>
      <w:r w:rsidR="008B4D34">
        <w:rPr>
          <w:rStyle w:val="default"/>
          <w:rFonts w:cs="FrankRuehl" w:hint="cs"/>
          <w:rtl/>
        </w:rPr>
        <w:t xml:space="preserve"> צו העבירות המינהליות)</w:t>
      </w:r>
      <w:r w:rsidR="00317907">
        <w:rPr>
          <w:rStyle w:val="default"/>
          <w:rFonts w:cs="FrankRuehl" w:hint="cs"/>
          <w:rtl/>
        </w:rPr>
        <w:t>.</w:t>
      </w:r>
      <w:r w:rsidR="008B4D34">
        <w:rPr>
          <w:rStyle w:val="default"/>
          <w:rFonts w:cs="FrankRuehl" w:hint="cs"/>
          <w:rtl/>
        </w:rPr>
        <w:t xml:space="preserve"> ראש המינהל האזרחי לאזור יהודה ושומרון (להלן </w:t>
      </w:r>
      <w:r w:rsidR="008B4D34">
        <w:rPr>
          <w:rStyle w:val="default"/>
          <w:rFonts w:cs="FrankRuehl"/>
          <w:rtl/>
        </w:rPr>
        <w:t>–</w:t>
      </w:r>
      <w:r w:rsidR="008B4D34">
        <w:rPr>
          <w:rStyle w:val="default"/>
          <w:rFonts w:cs="FrankRuehl" w:hint="cs"/>
          <w:rtl/>
        </w:rPr>
        <w:t xml:space="preserve"> ראש המינהל האזרחי), יהיה רשאי לשנות בתקנות את התוספת לצו זה.</w:t>
      </w:r>
    </w:p>
    <w:p w:rsidR="002E532F" w:rsidRDefault="002053AF" w:rsidP="00926CEE">
      <w:pPr>
        <w:pStyle w:val="P00"/>
        <w:spacing w:before="72"/>
        <w:ind w:left="0" w:right="1134"/>
        <w:rPr>
          <w:rStyle w:val="default"/>
          <w:rFonts w:cs="FrankRuehl"/>
          <w:rtl/>
        </w:rPr>
      </w:pPr>
      <w:bookmarkStart w:id="5" w:name="Seif2"/>
      <w:bookmarkEnd w:id="5"/>
      <w:r>
        <w:rPr>
          <w:rFonts w:cs="Miriam"/>
          <w:szCs w:val="32"/>
          <w:rtl/>
          <w:lang w:val="he-IL"/>
        </w:rPr>
        <w:pict>
          <v:shape id="_x0000_s2340" type="#_x0000_t202" style="position:absolute;left:0;text-align:left;margin-left:463.5pt;margin-top:7.1pt;width:78.85pt;height:12.25pt;z-index:251652608" filled="f" stroked="f">
            <v:textbox style="mso-next-textbox:#_x0000_s2340" inset="1mm,0,1mm,0">
              <w:txbxContent>
                <w:p w:rsidR="00636CFA" w:rsidRDefault="008B4D34" w:rsidP="00B115BA">
                  <w:pPr>
                    <w:spacing w:line="160" w:lineRule="exact"/>
                    <w:rPr>
                      <w:rFonts w:cs="Miriam" w:hint="cs"/>
                      <w:sz w:val="18"/>
                      <w:szCs w:val="18"/>
                      <w:rtl/>
                    </w:rPr>
                  </w:pPr>
                  <w:r>
                    <w:rPr>
                      <w:rFonts w:cs="Miriam" w:hint="cs"/>
                      <w:sz w:val="18"/>
                      <w:szCs w:val="18"/>
                      <w:rtl/>
                    </w:rPr>
                    <w:t>קנס מינהלי קצוב</w:t>
                  </w:r>
                </w:p>
              </w:txbxContent>
            </v:textbox>
          </v:shape>
        </w:pict>
      </w:r>
      <w:r>
        <w:rPr>
          <w:rStyle w:val="big-number"/>
          <w:rFonts w:cs="Miriam" w:hint="cs"/>
          <w:rtl/>
        </w:rPr>
        <w:t>4</w:t>
      </w:r>
      <w:r>
        <w:rPr>
          <w:rStyle w:val="default"/>
          <w:rFonts w:cs="FrankRuehl"/>
          <w:rtl/>
        </w:rPr>
        <w:t>.</w:t>
      </w:r>
      <w:r>
        <w:rPr>
          <w:rStyle w:val="default"/>
          <w:rFonts w:cs="FrankRuehl"/>
          <w:rtl/>
        </w:rPr>
        <w:tab/>
      </w:r>
      <w:r w:rsidR="008B4D34">
        <w:rPr>
          <w:rStyle w:val="default"/>
          <w:rFonts w:cs="FrankRuehl" w:hint="cs"/>
          <w:rtl/>
        </w:rPr>
        <w:t>לעבירה מינהלית כאמור בסעיף 3 יהיה קנס מינהלי קצוב, כקבוע לצדה בטור ב' שבתוספת לצו זה</w:t>
      </w:r>
      <w:r w:rsidR="00F92576">
        <w:rPr>
          <w:rStyle w:val="default"/>
          <w:rFonts w:cs="FrankRuehl" w:hint="cs"/>
          <w:rtl/>
        </w:rPr>
        <w:t>.</w:t>
      </w:r>
    </w:p>
    <w:p w:rsidR="00317907" w:rsidRDefault="00317907" w:rsidP="00317907">
      <w:pPr>
        <w:pStyle w:val="P00"/>
        <w:spacing w:before="72"/>
        <w:ind w:left="0" w:right="1134"/>
        <w:rPr>
          <w:rStyle w:val="default"/>
          <w:rFonts w:cs="FrankRuehl"/>
          <w:rtl/>
        </w:rPr>
      </w:pPr>
      <w:bookmarkStart w:id="6" w:name="Seif5"/>
      <w:bookmarkEnd w:id="6"/>
      <w:r>
        <w:rPr>
          <w:rFonts w:cs="Miriam"/>
          <w:szCs w:val="32"/>
          <w:rtl/>
          <w:lang w:val="he-IL"/>
        </w:rPr>
        <w:pict>
          <v:shape id="_x0000_s2484" type="#_x0000_t202" style="position:absolute;left:0;text-align:left;margin-left:463.5pt;margin-top:7.1pt;width:78.85pt;height:23.1pt;z-index:251655680" filled="f" stroked="f">
            <v:textbox style="mso-next-textbox:#_x0000_s2484" inset="1mm,0,1mm,0">
              <w:txbxContent>
                <w:p w:rsidR="00317907" w:rsidRDefault="008B4D34" w:rsidP="00317907">
                  <w:pPr>
                    <w:spacing w:line="160" w:lineRule="exact"/>
                    <w:rPr>
                      <w:rFonts w:cs="Miriam" w:hint="cs"/>
                      <w:sz w:val="18"/>
                      <w:szCs w:val="18"/>
                      <w:rtl/>
                    </w:rPr>
                  </w:pPr>
                  <w:r>
                    <w:rPr>
                      <w:rFonts w:cs="Miriam" w:hint="cs"/>
                      <w:sz w:val="18"/>
                      <w:szCs w:val="18"/>
                      <w:rtl/>
                    </w:rPr>
                    <w:t>עבירה מינהלית חוזרת</w:t>
                  </w:r>
                </w:p>
              </w:txbxContent>
            </v:textbox>
          </v:shape>
        </w:pict>
      </w:r>
      <w:r>
        <w:rPr>
          <w:rStyle w:val="big-number"/>
          <w:rFonts w:cs="Miriam" w:hint="cs"/>
          <w:rtl/>
        </w:rPr>
        <w:t>5</w:t>
      </w:r>
      <w:r>
        <w:rPr>
          <w:rStyle w:val="default"/>
          <w:rFonts w:cs="FrankRuehl"/>
          <w:rtl/>
        </w:rPr>
        <w:t>.</w:t>
      </w:r>
      <w:r>
        <w:rPr>
          <w:rStyle w:val="default"/>
          <w:rFonts w:cs="FrankRuehl"/>
          <w:rtl/>
        </w:rPr>
        <w:tab/>
      </w:r>
      <w:r w:rsidR="008B4D34">
        <w:rPr>
          <w:rStyle w:val="default"/>
          <w:rFonts w:cs="FrankRuehl" w:hint="cs"/>
          <w:rtl/>
        </w:rPr>
        <w:t>הקנס המינהלי הקצוב לעבירה מינהלית חוזרת כמשמעותה בסעיף 2(ב)</w:t>
      </w:r>
      <w:r w:rsidR="008B4D34">
        <w:rPr>
          <w:rStyle w:val="default"/>
          <w:rFonts w:cs="FrankRuehl" w:hint="cs"/>
        </w:rPr>
        <w:t xml:space="preserve"> </w:t>
      </w:r>
      <w:r w:rsidR="008B4D34">
        <w:rPr>
          <w:rStyle w:val="default"/>
          <w:rFonts w:cs="FrankRuehl" w:hint="cs"/>
          <w:rtl/>
        </w:rPr>
        <w:t>לצו העבירות המינהליות, יהיה כפל הקנס המינהלי האמור בסעיף 4, לפי העניין.</w:t>
      </w:r>
    </w:p>
    <w:p w:rsidR="00446D35" w:rsidRDefault="00446D35" w:rsidP="00446D35">
      <w:pPr>
        <w:pStyle w:val="P00"/>
        <w:spacing w:before="72"/>
        <w:ind w:left="0" w:right="1134"/>
        <w:rPr>
          <w:rStyle w:val="default"/>
          <w:rFonts w:cs="FrankRuehl"/>
          <w:rtl/>
        </w:rPr>
      </w:pPr>
      <w:bookmarkStart w:id="7" w:name="Seif6"/>
      <w:bookmarkEnd w:id="7"/>
      <w:r>
        <w:rPr>
          <w:rFonts w:cs="Miriam"/>
          <w:szCs w:val="32"/>
          <w:rtl/>
          <w:lang w:val="he-IL"/>
        </w:rPr>
        <w:pict>
          <v:shape id="_x0000_s2516" type="#_x0000_t202" style="position:absolute;left:0;text-align:left;margin-left:463.5pt;margin-top:7.1pt;width:78.85pt;height:22.75pt;z-index:251656704" filled="f" stroked="f">
            <v:textbox style="mso-next-textbox:#_x0000_s2516" inset="1mm,0,1mm,0">
              <w:txbxContent>
                <w:p w:rsidR="00446D35" w:rsidRDefault="008B4D34" w:rsidP="00446D35">
                  <w:pPr>
                    <w:spacing w:line="160" w:lineRule="exact"/>
                    <w:rPr>
                      <w:rFonts w:cs="Miriam" w:hint="cs"/>
                      <w:sz w:val="18"/>
                      <w:szCs w:val="18"/>
                      <w:rtl/>
                    </w:rPr>
                  </w:pPr>
                  <w:r>
                    <w:rPr>
                      <w:rFonts w:cs="Miriam" w:hint="cs"/>
                      <w:sz w:val="18"/>
                      <w:szCs w:val="18"/>
                      <w:rtl/>
                    </w:rPr>
                    <w:t>עבירה מינהלית נמשכת</w:t>
                  </w:r>
                </w:p>
              </w:txbxContent>
            </v:textbox>
          </v:shape>
        </w:pict>
      </w:r>
      <w:r w:rsidR="008B4D34">
        <w:rPr>
          <w:rStyle w:val="big-number"/>
          <w:rFonts w:cs="Miriam" w:hint="cs"/>
          <w:rtl/>
        </w:rPr>
        <w:t>6</w:t>
      </w:r>
      <w:r>
        <w:rPr>
          <w:rStyle w:val="default"/>
          <w:rFonts w:cs="FrankRuehl"/>
          <w:rtl/>
        </w:rPr>
        <w:t>.</w:t>
      </w:r>
      <w:r>
        <w:rPr>
          <w:rStyle w:val="default"/>
          <w:rFonts w:cs="FrankRuehl"/>
          <w:rtl/>
        </w:rPr>
        <w:tab/>
      </w:r>
      <w:r w:rsidR="008B4D34">
        <w:rPr>
          <w:rStyle w:val="default"/>
          <w:rFonts w:cs="FrankRuehl" w:hint="cs"/>
          <w:rtl/>
        </w:rPr>
        <w:t>הקנס המינהלי הקצוב לעבירה מינהלית נמשכת יהיה בשיעור חמישית מהקנס הקבוע בסעיף 4, לפי העניין, לכל יום שבו נמשכת העבירה, לאחר המועד שנקבע בהתראה כאמור בסעיף 7(ב1) לצו העבירות המינהליות.</w:t>
      </w:r>
    </w:p>
    <w:p w:rsidR="00446D35" w:rsidRDefault="00446D35" w:rsidP="00446D35">
      <w:pPr>
        <w:pStyle w:val="P00"/>
        <w:spacing w:before="72"/>
        <w:ind w:left="0" w:right="1134"/>
        <w:rPr>
          <w:rStyle w:val="default"/>
          <w:rFonts w:cs="FrankRuehl"/>
          <w:rtl/>
        </w:rPr>
      </w:pPr>
      <w:bookmarkStart w:id="8" w:name="Seif7"/>
      <w:bookmarkEnd w:id="8"/>
      <w:r>
        <w:rPr>
          <w:rFonts w:cs="Miriam"/>
          <w:szCs w:val="32"/>
          <w:rtl/>
          <w:lang w:val="he-IL"/>
        </w:rPr>
        <w:pict>
          <v:shape id="_x0000_s2517" type="#_x0000_t202" style="position:absolute;left:0;text-align:left;margin-left:463.5pt;margin-top:7.1pt;width:78.85pt;height:21.5pt;z-index:251657728" filled="f" stroked="f">
            <v:textbox style="mso-next-textbox:#_x0000_s2517" inset="1mm,0,1mm,0">
              <w:txbxContent>
                <w:p w:rsidR="00446D35" w:rsidRDefault="008B4D34" w:rsidP="00446D35">
                  <w:pPr>
                    <w:spacing w:line="160" w:lineRule="exact"/>
                    <w:rPr>
                      <w:rFonts w:cs="Miriam" w:hint="cs"/>
                      <w:sz w:val="18"/>
                      <w:szCs w:val="18"/>
                      <w:rtl/>
                    </w:rPr>
                  </w:pPr>
                  <w:r>
                    <w:rPr>
                      <w:rFonts w:cs="Miriam" w:hint="cs"/>
                      <w:sz w:val="18"/>
                      <w:szCs w:val="18"/>
                      <w:rtl/>
                    </w:rPr>
                    <w:t>הגורם המוסמך להטלת קנס מינהלי</w:t>
                  </w:r>
                </w:p>
              </w:txbxContent>
            </v:textbox>
          </v:shape>
        </w:pict>
      </w:r>
      <w:r w:rsidR="008B4D34">
        <w:rPr>
          <w:rStyle w:val="big-number"/>
          <w:rFonts w:cs="Miriam" w:hint="cs"/>
          <w:rtl/>
        </w:rPr>
        <w:t>7</w:t>
      </w:r>
      <w:r>
        <w:rPr>
          <w:rStyle w:val="default"/>
          <w:rFonts w:cs="FrankRuehl"/>
          <w:rtl/>
        </w:rPr>
        <w:t>.</w:t>
      </w:r>
      <w:r>
        <w:rPr>
          <w:rStyle w:val="default"/>
          <w:rFonts w:cs="FrankRuehl"/>
          <w:rtl/>
        </w:rPr>
        <w:tab/>
      </w:r>
      <w:r w:rsidR="008B4D34">
        <w:rPr>
          <w:rStyle w:val="default"/>
          <w:rFonts w:cs="FrankRuehl" w:hint="cs"/>
          <w:rtl/>
        </w:rPr>
        <w:t>(א)</w:t>
      </w:r>
      <w:r w:rsidR="008B4D34">
        <w:rPr>
          <w:rStyle w:val="default"/>
          <w:rFonts w:cs="FrankRuehl"/>
          <w:rtl/>
        </w:rPr>
        <w:tab/>
      </w:r>
      <w:r w:rsidR="008B4D34">
        <w:rPr>
          <w:rStyle w:val="default"/>
          <w:rFonts w:cs="FrankRuehl" w:hint="cs"/>
          <w:rtl/>
        </w:rPr>
        <w:t xml:space="preserve">הגורם המוסמך להטיל קנס מינהלי לפי צו זה (להלן </w:t>
      </w:r>
      <w:r w:rsidR="008B4D34">
        <w:rPr>
          <w:rStyle w:val="default"/>
          <w:rFonts w:cs="FrankRuehl"/>
          <w:rtl/>
        </w:rPr>
        <w:t>–</w:t>
      </w:r>
      <w:r w:rsidR="008B4D34">
        <w:rPr>
          <w:rStyle w:val="default"/>
          <w:rFonts w:cs="FrankRuehl" w:hint="cs"/>
          <w:rtl/>
        </w:rPr>
        <w:t xml:space="preserve"> הגורם המוסמך), הוא כל אחד מאלה:</w:t>
      </w:r>
    </w:p>
    <w:p w:rsidR="008B4D34" w:rsidRDefault="008B4D34" w:rsidP="003A25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שוטר;</w:t>
      </w:r>
    </w:p>
    <w:p w:rsidR="008B4D34" w:rsidRDefault="008B4D34" w:rsidP="003A25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מפקח שהוא עובד מדינת ישראל או רשויות האזור אשר נתונות לו סמכויות פיקוח לפי כל דין או תחיקת ביטחון, ושהוסמך לכך על ידי ראש המינהל האזרחי;</w:t>
      </w:r>
    </w:p>
    <w:p w:rsidR="008B4D34" w:rsidRDefault="008B4D34" w:rsidP="003A25D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עובד מועצה אזורית כמשמעותה בצו בדבר ניהול מועצות אזוריות (יהודה ושומרון) (מס' 783), תשל"ט-1979 או עובד מועצה מקומית כמשמעותה בצו בדבר ניהול מועצות מקומיות (יהודה ושומרון) (מס' 892), תשמ"א-1981, אשר נתונות לו סמכויות פיקוח לפי כל דין </w:t>
      </w:r>
      <w:r w:rsidR="003A25D0">
        <w:rPr>
          <w:rStyle w:val="default"/>
          <w:rFonts w:cs="FrankRuehl" w:hint="cs"/>
          <w:rtl/>
        </w:rPr>
        <w:t>או תחיקת ביטחון, שהוסמך לכך על ידי ראש המינהל האזרחי, בתחום המועצה האזורית או בתחום המועצה המקומית, לפי העניין, ובכפוף להנחיות ראש המנהל האזרחי;</w:t>
      </w:r>
    </w:p>
    <w:p w:rsidR="003A25D0" w:rsidRDefault="003A25D0" w:rsidP="003A25D0">
      <w:pPr>
        <w:pStyle w:val="P00"/>
        <w:spacing w:before="72"/>
        <w:ind w:left="1021" w:right="1134"/>
        <w:rPr>
          <w:rStyle w:val="default"/>
          <w:rFonts w:cs="FrankRuehl"/>
          <w:rtl/>
        </w:rPr>
      </w:pPr>
      <w:r>
        <w:rPr>
          <w:rStyle w:val="default"/>
          <w:rFonts w:cs="FrankRuehl" w:hint="cs"/>
          <w:rtl/>
        </w:rPr>
        <w:lastRenderedPageBreak/>
        <w:t>(4)</w:t>
      </w:r>
      <w:r>
        <w:rPr>
          <w:rStyle w:val="default"/>
          <w:rFonts w:cs="FrankRuehl"/>
          <w:rtl/>
        </w:rPr>
        <w:tab/>
      </w:r>
      <w:r>
        <w:rPr>
          <w:rStyle w:val="default"/>
          <w:rFonts w:cs="FrankRuehl" w:hint="cs"/>
          <w:rtl/>
        </w:rPr>
        <w:t>פקח עירוני, לרבות פקח מסייע, שהוסמכו בהתאם לחוק לייעול האכיפה והפיקוח העירוניים ברשויות המקומיות (הוראת שעה), התשע"א-2011, כפי תוקפו בתקנונים מעת לעת</w:t>
      </w:r>
      <w:r w:rsidR="0094672A">
        <w:rPr>
          <w:rStyle w:val="default"/>
          <w:rFonts w:cs="FrankRuehl" w:hint="cs"/>
          <w:rtl/>
        </w:rPr>
        <w:t>, בתחום מועצה אזורית או בתחום מועצה מקומית, לפי העניין</w:t>
      </w:r>
      <w:r>
        <w:rPr>
          <w:rStyle w:val="default"/>
          <w:rFonts w:cs="FrankRuehl" w:hint="cs"/>
          <w:rtl/>
        </w:rPr>
        <w:t>.</w:t>
      </w:r>
    </w:p>
    <w:p w:rsidR="00673CED" w:rsidRDefault="00673CED" w:rsidP="00673CED">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הגורם המוסמך להטיל קנס מינהלי לפי </w:t>
      </w:r>
      <w:r w:rsidR="007663DC" w:rsidRPr="007663DC">
        <w:rPr>
          <w:rStyle w:val="default"/>
          <w:rFonts w:cs="FrankRuehl" w:hint="cs"/>
          <w:rtl/>
        </w:rPr>
        <w:t xml:space="preserve">פרטים </w:t>
      </w:r>
      <w:r w:rsidR="0094672A">
        <w:rPr>
          <w:rStyle w:val="default"/>
          <w:rFonts w:cs="FrankRuehl" w:hint="cs"/>
          <w:rtl/>
        </w:rPr>
        <w:t xml:space="preserve">(1) עד </w:t>
      </w:r>
      <w:r w:rsidR="007663DC" w:rsidRPr="007663DC">
        <w:rPr>
          <w:rStyle w:val="default"/>
          <w:rFonts w:cs="FrankRuehl" w:hint="cs"/>
          <w:rtl/>
        </w:rPr>
        <w:t xml:space="preserve">(3) </w:t>
      </w:r>
      <w:r>
        <w:rPr>
          <w:rStyle w:val="default"/>
          <w:rFonts w:cs="FrankRuehl" w:hint="cs"/>
          <w:rtl/>
        </w:rPr>
        <w:t xml:space="preserve">לתוספת לצו זה הוא שוטר </w:t>
      </w:r>
      <w:r w:rsidR="0094672A">
        <w:rPr>
          <w:rStyle w:val="default"/>
          <w:rFonts w:cs="FrankRuehl" w:hint="cs"/>
          <w:rtl/>
        </w:rPr>
        <w:t xml:space="preserve">או מפקח שהוא עובד מדינת ישראל או </w:t>
      </w:r>
      <w:r>
        <w:rPr>
          <w:rStyle w:val="default"/>
          <w:rFonts w:cs="FrankRuehl" w:hint="cs"/>
          <w:rtl/>
        </w:rPr>
        <w:t>רשויות האזור אשר נתונות לו סמכויות פיקוח לפי כל דין או תחיקת ביטחון, כאמור בסעיף קטן (א)(2); או מפקח כמשמעותו בסעיף 5 לצו העבירות המינהליות.</w:t>
      </w:r>
    </w:p>
    <w:p w:rsidR="00446D35" w:rsidRDefault="00446D35" w:rsidP="00446D35">
      <w:pPr>
        <w:pStyle w:val="P00"/>
        <w:spacing w:before="72"/>
        <w:ind w:left="0" w:right="1134"/>
        <w:rPr>
          <w:rStyle w:val="default"/>
          <w:rFonts w:cs="FrankRuehl"/>
          <w:rtl/>
        </w:rPr>
      </w:pPr>
      <w:bookmarkStart w:id="9" w:name="Seif8"/>
      <w:bookmarkEnd w:id="9"/>
      <w:r>
        <w:rPr>
          <w:rFonts w:cs="Miriam"/>
          <w:szCs w:val="32"/>
          <w:rtl/>
          <w:lang w:val="he-IL"/>
        </w:rPr>
        <w:pict>
          <v:shape id="_x0000_s2518" type="#_x0000_t202" style="position:absolute;left:0;text-align:left;margin-left:463.5pt;margin-top:7.1pt;width:78.85pt;height:12.8pt;z-index:251658752" filled="f" stroked="f">
            <v:textbox style="mso-next-textbox:#_x0000_s2518" inset="1mm,0,1mm,0">
              <w:txbxContent>
                <w:p w:rsidR="00446D35" w:rsidRDefault="003A25D0" w:rsidP="00446D35">
                  <w:pPr>
                    <w:spacing w:line="160" w:lineRule="exact"/>
                    <w:rPr>
                      <w:rFonts w:cs="Miriam"/>
                      <w:sz w:val="18"/>
                      <w:szCs w:val="18"/>
                      <w:rtl/>
                    </w:rPr>
                  </w:pPr>
                  <w:r>
                    <w:rPr>
                      <w:rFonts w:cs="Miriam" w:hint="cs"/>
                      <w:sz w:val="18"/>
                      <w:szCs w:val="18"/>
                      <w:rtl/>
                    </w:rPr>
                    <w:t>סמכויות נלוות</w:t>
                  </w:r>
                </w:p>
              </w:txbxContent>
            </v:textbox>
          </v:shape>
        </w:pict>
      </w:r>
      <w:r w:rsidR="003A25D0">
        <w:rPr>
          <w:rStyle w:val="big-number"/>
          <w:rFonts w:cs="Miriam" w:hint="cs"/>
          <w:rtl/>
        </w:rPr>
        <w:t>8</w:t>
      </w:r>
      <w:r>
        <w:rPr>
          <w:rStyle w:val="default"/>
          <w:rFonts w:cs="FrankRuehl"/>
          <w:rtl/>
        </w:rPr>
        <w:t>.</w:t>
      </w:r>
      <w:r>
        <w:rPr>
          <w:rStyle w:val="default"/>
          <w:rFonts w:cs="FrankRuehl"/>
          <w:rtl/>
        </w:rPr>
        <w:tab/>
      </w:r>
      <w:r w:rsidR="003A25D0">
        <w:rPr>
          <w:rStyle w:val="default"/>
          <w:rFonts w:cs="FrankRuehl" w:hint="cs"/>
          <w:rtl/>
        </w:rPr>
        <w:t>(א)</w:t>
      </w:r>
      <w:r w:rsidR="003A25D0">
        <w:rPr>
          <w:rStyle w:val="default"/>
          <w:rFonts w:cs="FrankRuehl"/>
          <w:rtl/>
        </w:rPr>
        <w:tab/>
      </w:r>
      <w:r w:rsidR="00966538" w:rsidRPr="00966538">
        <w:rPr>
          <w:rStyle w:val="default"/>
          <w:rFonts w:cs="FrankRuehl" w:hint="cs"/>
          <w:rtl/>
        </w:rPr>
        <w:t xml:space="preserve">לשם פיקוח על הוראות צו זה, לרבות </w:t>
      </w:r>
      <w:r w:rsidR="003A25D0">
        <w:rPr>
          <w:rStyle w:val="default"/>
          <w:rFonts w:cs="FrankRuehl" w:hint="cs"/>
          <w:rtl/>
        </w:rPr>
        <w:t>לצורך הטלת קנס מינהלי מכוח</w:t>
      </w:r>
      <w:r w:rsidR="00966538">
        <w:rPr>
          <w:rStyle w:val="default"/>
          <w:rFonts w:cs="FrankRuehl" w:hint="cs"/>
          <w:rtl/>
        </w:rPr>
        <w:t>ן</w:t>
      </w:r>
      <w:r w:rsidR="003A25D0">
        <w:rPr>
          <w:rStyle w:val="default"/>
          <w:rFonts w:cs="FrankRuehl" w:hint="cs"/>
          <w:rtl/>
        </w:rPr>
        <w:t xml:space="preserve"> יהיה רשאי הגורם המוסמך </w:t>
      </w:r>
      <w:r w:rsidR="003A25D0">
        <w:rPr>
          <w:rStyle w:val="default"/>
          <w:rFonts w:cs="FrankRuehl"/>
          <w:rtl/>
        </w:rPr>
        <w:t>–</w:t>
      </w:r>
    </w:p>
    <w:p w:rsidR="003A25D0" w:rsidRDefault="003A25D0" w:rsidP="003A25D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rsidR="003A25D0" w:rsidRDefault="003A25D0" w:rsidP="003A25D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לדרוש מכל אדם הנוגע בדבר למסור לו כל ידיעה או מסמך שיש בהם כדי להבטיח או להקל את ביצועו של צו זה;</w:t>
      </w:r>
    </w:p>
    <w:p w:rsidR="003A25D0" w:rsidRDefault="007663DC" w:rsidP="007663DC">
      <w:pPr>
        <w:pStyle w:val="P00"/>
        <w:spacing w:before="72"/>
        <w:ind w:left="1021" w:right="1134"/>
        <w:rPr>
          <w:rStyle w:val="default"/>
          <w:rFonts w:cs="FrankRuehl"/>
          <w:rtl/>
        </w:rPr>
      </w:pPr>
      <w:r>
        <w:rPr>
          <w:rFonts w:cs="FrankRuehl" w:hint="cs"/>
          <w:sz w:val="26"/>
          <w:rtl/>
        </w:rPr>
        <w:t>(3)</w:t>
      </w:r>
      <w:r>
        <w:rPr>
          <w:rFonts w:cs="FrankRuehl"/>
          <w:sz w:val="26"/>
          <w:rtl/>
        </w:rPr>
        <w:tab/>
      </w:r>
      <w:r w:rsidR="003A25D0">
        <w:rPr>
          <w:rStyle w:val="default"/>
          <w:rFonts w:cs="FrankRuehl" w:hint="cs"/>
          <w:rtl/>
        </w:rPr>
        <w:t xml:space="preserve">להיכנס למקום, לרבות </w:t>
      </w:r>
      <w:r>
        <w:rPr>
          <w:rStyle w:val="default"/>
          <w:rFonts w:cs="FrankRuehl" w:hint="cs"/>
          <w:rtl/>
        </w:rPr>
        <w:t>לכלי תחבורה שהוא נייח, ובלבד שלא ייכנס למקום המשמש למגורים אלא על פי צו של בית משפט; על אף האמור ברישה, הגורם המוסמך להיכנס לכלי תחבורה שהוא נייח הוא רק שוטר או מפקח שהוא עובד מדינת ישראל או רשויות האזור אשר נתונות לו סמכויות פיקוח לפי כל דין או תחיקת ביטחון, ושהוסמך לכך על ידי ראש המינהל האזרחי, כאמור בסעיף 7(א)(2)</w:t>
      </w:r>
      <w:r w:rsidR="003A25D0">
        <w:rPr>
          <w:rStyle w:val="default"/>
          <w:rFonts w:cs="FrankRuehl" w:hint="cs"/>
          <w:rtl/>
        </w:rPr>
        <w:t>.</w:t>
      </w:r>
    </w:p>
    <w:p w:rsidR="00136772" w:rsidRDefault="00136772" w:rsidP="0013677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 xml:space="preserve">לא יפעיל גורם מוסמך לפי סעיף 7(א)(2) את סמכויותיו לשם פיקוח ואכיפת הוראות סעיפים 2(ד) ו-3 להוראת </w:t>
      </w:r>
      <w:r w:rsidR="0094672A">
        <w:rPr>
          <w:rStyle w:val="default"/>
          <w:rFonts w:cs="FrankRuehl" w:hint="cs"/>
          <w:rtl/>
        </w:rPr>
        <w:t>בידוד בית</w:t>
      </w:r>
      <w:r>
        <w:rPr>
          <w:rStyle w:val="default"/>
          <w:rFonts w:cs="FrankRuehl" w:hint="cs"/>
          <w:rtl/>
        </w:rPr>
        <w:t>, אלא בהתאם למדיניות הפיקוח והאכיפה הכללית של משטרת ישראל, וכן לפי הוראות פרטניות שנתנה משטרת ישראל.</w:t>
      </w:r>
    </w:p>
    <w:p w:rsidR="003A25D0" w:rsidRDefault="003A25D0" w:rsidP="00446D3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בסמכויות הגורם המוסמך לפי צו זה כדי לגרוע מהסמכויות ניתנו לו לפי כל דין או תחיקת ביטחון.</w:t>
      </w:r>
    </w:p>
    <w:p w:rsidR="00966538" w:rsidRDefault="00966538" w:rsidP="0094672A">
      <w:pPr>
        <w:pStyle w:val="P00"/>
        <w:spacing w:before="72"/>
        <w:ind w:left="0" w:right="1134"/>
        <w:rPr>
          <w:rStyle w:val="default"/>
          <w:rFonts w:cs="FrankRuehl"/>
          <w:rtl/>
        </w:rPr>
      </w:pPr>
      <w:bookmarkStart w:id="10" w:name="Seif13"/>
      <w:bookmarkEnd w:id="10"/>
      <w:r>
        <w:rPr>
          <w:rFonts w:cs="Miriam"/>
          <w:szCs w:val="32"/>
          <w:rtl/>
          <w:lang w:val="he-IL"/>
        </w:rPr>
        <w:pict>
          <v:shape id="_x0000_s2530" type="#_x0000_t202" style="position:absolute;left:0;text-align:left;margin-left:463.5pt;margin-top:7.1pt;width:78.85pt;height:17.45pt;z-index:251663872" filled="f" stroked="f">
            <v:textbox style="mso-next-textbox:#_x0000_s2530" inset="1mm,0,1mm,0">
              <w:txbxContent>
                <w:p w:rsidR="00966538" w:rsidRDefault="0094672A" w:rsidP="00966538">
                  <w:pPr>
                    <w:spacing w:line="160" w:lineRule="exact"/>
                    <w:rPr>
                      <w:rFonts w:cs="Miriam" w:hint="cs"/>
                      <w:sz w:val="18"/>
                      <w:szCs w:val="18"/>
                      <w:rtl/>
                    </w:rPr>
                  </w:pPr>
                  <w:r>
                    <w:rPr>
                      <w:rFonts w:cs="Miriam" w:hint="cs"/>
                      <w:sz w:val="18"/>
                      <w:szCs w:val="18"/>
                      <w:rtl/>
                    </w:rPr>
                    <w:t>תיקון צו העבירות המינהליות</w:t>
                  </w:r>
                </w:p>
              </w:txbxContent>
            </v:textbox>
          </v:shape>
        </w:pict>
      </w:r>
      <w:r>
        <w:rPr>
          <w:rStyle w:val="big-number"/>
          <w:rFonts w:cs="Miriam" w:hint="cs"/>
          <w:rtl/>
        </w:rPr>
        <w:t>9</w:t>
      </w:r>
      <w:r>
        <w:rPr>
          <w:rStyle w:val="default"/>
          <w:rFonts w:cs="FrankRuehl"/>
          <w:rtl/>
        </w:rPr>
        <w:t>.</w:t>
      </w:r>
      <w:r>
        <w:rPr>
          <w:rStyle w:val="default"/>
          <w:rFonts w:cs="FrankRuehl"/>
          <w:rtl/>
        </w:rPr>
        <w:tab/>
      </w:r>
      <w:r w:rsidR="0094672A">
        <w:rPr>
          <w:rStyle w:val="default"/>
          <w:rFonts w:cs="FrankRuehl" w:hint="cs"/>
          <w:rtl/>
        </w:rPr>
        <w:t>בתקופת תוקפו של צו זה, יראו כאילו בתוספת לצו העבירות המינהליות, במקום האמור בה, יבוא האמור בתוספת לצו זה</w:t>
      </w:r>
      <w:r>
        <w:rPr>
          <w:rStyle w:val="default"/>
          <w:rFonts w:cs="FrankRuehl" w:hint="cs"/>
          <w:rtl/>
        </w:rPr>
        <w:t>.</w:t>
      </w:r>
    </w:p>
    <w:p w:rsidR="00034A71" w:rsidRDefault="00446D35" w:rsidP="00446D35">
      <w:pPr>
        <w:pStyle w:val="P00"/>
        <w:spacing w:before="72"/>
        <w:ind w:left="0" w:right="1134"/>
        <w:rPr>
          <w:rStyle w:val="default"/>
          <w:rFonts w:cs="FrankRuehl"/>
          <w:rtl/>
        </w:rPr>
      </w:pPr>
      <w:bookmarkStart w:id="11" w:name="Seif9"/>
      <w:bookmarkEnd w:id="11"/>
      <w:r>
        <w:rPr>
          <w:rFonts w:cs="Miriam"/>
          <w:szCs w:val="32"/>
          <w:rtl/>
          <w:lang w:val="he-IL"/>
        </w:rPr>
        <w:pict>
          <v:shape id="_x0000_s2520" type="#_x0000_t202" style="position:absolute;left:0;text-align:left;margin-left:463.5pt;margin-top:7.1pt;width:78.85pt;height:22.25pt;z-index:251659776" filled="f" stroked="f">
            <v:textbox style="mso-next-textbox:#_x0000_s2520" inset="1mm,0,1mm,0">
              <w:txbxContent>
                <w:p w:rsidR="00446D35" w:rsidRDefault="003A25D0" w:rsidP="00446D35">
                  <w:pPr>
                    <w:spacing w:line="160" w:lineRule="exact"/>
                    <w:rPr>
                      <w:rFonts w:cs="Miriam" w:hint="cs"/>
                      <w:sz w:val="18"/>
                      <w:szCs w:val="18"/>
                      <w:rtl/>
                    </w:rPr>
                  </w:pPr>
                  <w:r>
                    <w:rPr>
                      <w:rFonts w:cs="Miriam" w:hint="cs"/>
                      <w:sz w:val="18"/>
                      <w:szCs w:val="18"/>
                      <w:rtl/>
                    </w:rPr>
                    <w:t xml:space="preserve">תיקון </w:t>
                  </w:r>
                  <w:r w:rsidR="0094672A">
                    <w:rPr>
                      <w:rFonts w:cs="Miriam" w:hint="cs"/>
                      <w:sz w:val="18"/>
                      <w:szCs w:val="18"/>
                      <w:rtl/>
                    </w:rPr>
                    <w:t>תקנון המועצות המקומיות</w:t>
                  </w:r>
                </w:p>
              </w:txbxContent>
            </v:textbox>
          </v:shape>
        </w:pict>
      </w:r>
      <w:r>
        <w:rPr>
          <w:rStyle w:val="big-number"/>
          <w:rFonts w:cs="Miriam" w:hint="cs"/>
          <w:rtl/>
        </w:rPr>
        <w:t>10</w:t>
      </w:r>
      <w:r>
        <w:rPr>
          <w:rStyle w:val="default"/>
          <w:rFonts w:cs="FrankRuehl"/>
          <w:rtl/>
        </w:rPr>
        <w:t>.</w:t>
      </w:r>
      <w:r>
        <w:rPr>
          <w:rStyle w:val="default"/>
          <w:rFonts w:cs="FrankRuehl"/>
          <w:rtl/>
        </w:rPr>
        <w:tab/>
      </w:r>
      <w:r w:rsidR="003A25D0">
        <w:rPr>
          <w:rStyle w:val="default"/>
          <w:rFonts w:cs="FrankRuehl" w:hint="cs"/>
          <w:rtl/>
        </w:rPr>
        <w:t xml:space="preserve">בתקופת תוקפו של צו זה, יראו כאילו </w:t>
      </w:r>
      <w:r w:rsidR="0094672A">
        <w:rPr>
          <w:rStyle w:val="default"/>
          <w:rFonts w:cs="FrankRuehl" w:hint="cs"/>
          <w:rtl/>
        </w:rPr>
        <w:t xml:space="preserve">בתקנון המועצות המקומיות (יהודה ושומרון), התשמ"א-1981, בתוספת הראשונה לתקנון, בסופה נאמר </w:t>
      </w:r>
    </w:p>
    <w:p w:rsidR="00446D35" w:rsidRDefault="0094672A" w:rsidP="00034A71">
      <w:pPr>
        <w:pStyle w:val="P00"/>
        <w:spacing w:before="72"/>
        <w:ind w:left="624" w:right="1134"/>
        <w:rPr>
          <w:rStyle w:val="default"/>
          <w:rFonts w:cs="FrankRuehl"/>
          <w:rtl/>
        </w:rPr>
      </w:pPr>
      <w:r>
        <w:rPr>
          <w:rStyle w:val="default"/>
          <w:rFonts w:cs="FrankRuehl" w:hint="cs"/>
          <w:rtl/>
        </w:rPr>
        <w:t>"9.</w:t>
      </w:r>
      <w:r w:rsidR="00034A71">
        <w:rPr>
          <w:rStyle w:val="default"/>
          <w:rFonts w:cs="FrankRuehl"/>
          <w:rtl/>
        </w:rPr>
        <w:tab/>
      </w:r>
      <w:bookmarkStart w:id="12" w:name="_Hlk79476931"/>
      <w:r>
        <w:rPr>
          <w:rStyle w:val="default"/>
          <w:rFonts w:cs="FrankRuehl" w:hint="cs"/>
          <w:rtl/>
        </w:rPr>
        <w:t>צו בדבר אכיפה (נגיף הקורונה) (יהודה ושומרון) (מס' 2063) (הוראת שעה), התשפ"א-2021</w:t>
      </w:r>
      <w:bookmarkEnd w:id="12"/>
      <w:r w:rsidR="003A25D0">
        <w:rPr>
          <w:rStyle w:val="default"/>
          <w:rFonts w:cs="FrankRuehl" w:hint="cs"/>
          <w:rtl/>
        </w:rPr>
        <w:t>.</w:t>
      </w:r>
    </w:p>
    <w:p w:rsidR="00034A71" w:rsidRDefault="00034A71" w:rsidP="00034A71">
      <w:pPr>
        <w:pStyle w:val="P00"/>
        <w:spacing w:before="72"/>
        <w:ind w:left="624" w:right="1134"/>
        <w:rPr>
          <w:rStyle w:val="default"/>
          <w:rFonts w:cs="FrankRuehl"/>
          <w:rtl/>
        </w:rPr>
      </w:pPr>
      <w:r>
        <w:rPr>
          <w:rStyle w:val="default"/>
          <w:rFonts w:cs="FrankRuehl" w:hint="cs"/>
          <w:rtl/>
        </w:rPr>
        <w:t>10.</w:t>
      </w:r>
      <w:r>
        <w:rPr>
          <w:rStyle w:val="default"/>
          <w:rFonts w:cs="FrankRuehl"/>
          <w:rtl/>
        </w:rPr>
        <w:tab/>
      </w:r>
      <w:bookmarkStart w:id="13" w:name="_Hlk79476951"/>
      <w:r>
        <w:rPr>
          <w:rStyle w:val="default"/>
          <w:rFonts w:cs="FrankRuehl" w:hint="cs"/>
          <w:rtl/>
        </w:rPr>
        <w:t>צו בדבר סמכויות מיוחדות להתמודדות עם נגיף הקורונה החדש (הוראת שעה) (הגבלת פעילות של מקום ציבורי או עסקי) (יהודה ושומרון) (מס' 2060), התשפ"א-2021</w:t>
      </w:r>
      <w:bookmarkEnd w:id="13"/>
      <w:r>
        <w:rPr>
          <w:rStyle w:val="default"/>
          <w:rFonts w:cs="FrankRuehl" w:hint="cs"/>
          <w:rtl/>
        </w:rPr>
        <w:t>.".</w:t>
      </w:r>
    </w:p>
    <w:p w:rsidR="00446D35" w:rsidRDefault="00446D35" w:rsidP="00446D35">
      <w:pPr>
        <w:pStyle w:val="P00"/>
        <w:spacing w:before="72"/>
        <w:ind w:left="0" w:right="1134"/>
        <w:rPr>
          <w:rStyle w:val="default"/>
          <w:rFonts w:cs="FrankRuehl"/>
          <w:rtl/>
        </w:rPr>
      </w:pPr>
      <w:bookmarkStart w:id="14" w:name="Seif10"/>
      <w:bookmarkEnd w:id="14"/>
      <w:r>
        <w:rPr>
          <w:rFonts w:cs="Miriam"/>
          <w:szCs w:val="32"/>
          <w:rtl/>
          <w:lang w:val="he-IL"/>
        </w:rPr>
        <w:pict>
          <v:shape id="_x0000_s2522" type="#_x0000_t202" style="position:absolute;left:0;text-align:left;margin-left:463.5pt;margin-top:7.1pt;width:78.85pt;height:13.2pt;z-index:251660800" filled="f" stroked="f">
            <v:textbox style="mso-next-textbox:#_x0000_s2522" inset="1mm,0,1mm,0">
              <w:txbxContent>
                <w:p w:rsidR="00446D35" w:rsidRDefault="003A25D0" w:rsidP="00446D35">
                  <w:pPr>
                    <w:spacing w:line="160" w:lineRule="exact"/>
                    <w:rPr>
                      <w:rFonts w:cs="Miriam"/>
                      <w:sz w:val="18"/>
                      <w:szCs w:val="18"/>
                      <w:rtl/>
                    </w:rPr>
                  </w:pPr>
                  <w:r>
                    <w:rPr>
                      <w:rFonts w:cs="Miriam" w:hint="cs"/>
                      <w:sz w:val="18"/>
                      <w:szCs w:val="18"/>
                      <w:rtl/>
                    </w:rPr>
                    <w:t>תחילת תוקף</w:t>
                  </w:r>
                </w:p>
              </w:txbxContent>
            </v:textbox>
          </v:shape>
        </w:pict>
      </w:r>
      <w:r>
        <w:rPr>
          <w:rStyle w:val="big-number"/>
          <w:rFonts w:cs="Miriam" w:hint="cs"/>
          <w:rtl/>
        </w:rPr>
        <w:t>1</w:t>
      </w:r>
      <w:r w:rsidR="00034A71">
        <w:rPr>
          <w:rStyle w:val="big-number"/>
          <w:rFonts w:cs="Miriam" w:hint="cs"/>
          <w:rtl/>
        </w:rPr>
        <w:t>1</w:t>
      </w:r>
      <w:r>
        <w:rPr>
          <w:rStyle w:val="default"/>
          <w:rFonts w:cs="FrankRuehl"/>
          <w:rtl/>
        </w:rPr>
        <w:t>.</w:t>
      </w:r>
      <w:r>
        <w:rPr>
          <w:rStyle w:val="default"/>
          <w:rFonts w:cs="FrankRuehl"/>
          <w:rtl/>
        </w:rPr>
        <w:tab/>
      </w:r>
      <w:r w:rsidR="003A25D0">
        <w:rPr>
          <w:rStyle w:val="default"/>
          <w:rFonts w:cs="FrankRuehl" w:hint="cs"/>
          <w:rtl/>
        </w:rPr>
        <w:t>תחילתו של צו זה ביום חתימתו.</w:t>
      </w:r>
    </w:p>
    <w:p w:rsidR="00446D35" w:rsidRDefault="00446D35" w:rsidP="00446D35">
      <w:pPr>
        <w:pStyle w:val="P00"/>
        <w:spacing w:before="72"/>
        <w:ind w:left="0" w:right="1134"/>
        <w:rPr>
          <w:rStyle w:val="default"/>
          <w:rFonts w:cs="FrankRuehl"/>
          <w:rtl/>
        </w:rPr>
      </w:pPr>
      <w:bookmarkStart w:id="15" w:name="Seif11"/>
      <w:bookmarkEnd w:id="15"/>
      <w:r>
        <w:rPr>
          <w:rFonts w:cs="Miriam"/>
          <w:szCs w:val="32"/>
          <w:rtl/>
          <w:lang w:val="he-IL"/>
        </w:rPr>
        <w:pict>
          <v:shape id="_x0000_s2523" type="#_x0000_t202" style="position:absolute;left:0;text-align:left;margin-left:463.5pt;margin-top:7.1pt;width:78.85pt;height:15.05pt;z-index:251661824" filled="f" stroked="f">
            <v:textbox style="mso-next-textbox:#_x0000_s2523" inset="1mm,0,1mm,0">
              <w:txbxContent>
                <w:p w:rsidR="00446D35" w:rsidRDefault="003A25D0" w:rsidP="00446D35">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1</w:t>
      </w:r>
      <w:r w:rsidR="00034A71">
        <w:rPr>
          <w:rStyle w:val="big-number"/>
          <w:rFonts w:cs="Miriam" w:hint="cs"/>
          <w:rtl/>
        </w:rPr>
        <w:t>2</w:t>
      </w:r>
      <w:r>
        <w:rPr>
          <w:rStyle w:val="default"/>
          <w:rFonts w:cs="FrankRuehl"/>
          <w:rtl/>
        </w:rPr>
        <w:t>.</w:t>
      </w:r>
      <w:r>
        <w:rPr>
          <w:rStyle w:val="default"/>
          <w:rFonts w:cs="FrankRuehl"/>
          <w:rtl/>
        </w:rPr>
        <w:tab/>
      </w:r>
      <w:r w:rsidR="000149DC">
        <w:rPr>
          <w:rStyle w:val="default"/>
          <w:rFonts w:cs="FrankRuehl" w:hint="cs"/>
          <w:rtl/>
        </w:rPr>
        <w:t xml:space="preserve">צו זה ייקרא: "צו בדבר </w:t>
      </w:r>
      <w:r w:rsidR="00034A71">
        <w:rPr>
          <w:rStyle w:val="default"/>
          <w:rFonts w:cs="FrankRuehl" w:hint="cs"/>
          <w:rtl/>
        </w:rPr>
        <w:t>אכיפה</w:t>
      </w:r>
      <w:r w:rsidR="000149DC">
        <w:rPr>
          <w:rStyle w:val="default"/>
          <w:rFonts w:cs="FrankRuehl" w:hint="cs"/>
          <w:rtl/>
        </w:rPr>
        <w:t xml:space="preserve"> (נגיף הקורונה) (יהודה ושומרון) (מס' </w:t>
      </w:r>
      <w:r w:rsidR="00034A71">
        <w:rPr>
          <w:rStyle w:val="default"/>
          <w:rFonts w:cs="FrankRuehl" w:hint="cs"/>
          <w:rtl/>
        </w:rPr>
        <w:t>2063</w:t>
      </w:r>
      <w:r w:rsidR="000149DC">
        <w:rPr>
          <w:rStyle w:val="default"/>
          <w:rFonts w:cs="FrankRuehl" w:hint="cs"/>
          <w:rtl/>
        </w:rPr>
        <w:t>) (הוראת שעה), התש</w:t>
      </w:r>
      <w:r w:rsidR="00034A71">
        <w:rPr>
          <w:rStyle w:val="default"/>
          <w:rFonts w:cs="FrankRuehl" w:hint="cs"/>
          <w:rtl/>
        </w:rPr>
        <w:t>פ"א</w:t>
      </w:r>
      <w:r w:rsidR="000149DC">
        <w:rPr>
          <w:rStyle w:val="default"/>
          <w:rFonts w:cs="FrankRuehl" w:hint="cs"/>
          <w:rtl/>
        </w:rPr>
        <w:t>-202</w:t>
      </w:r>
      <w:r w:rsidR="00034A71">
        <w:rPr>
          <w:rStyle w:val="default"/>
          <w:rFonts w:cs="FrankRuehl" w:hint="cs"/>
          <w:rtl/>
        </w:rPr>
        <w:t>1</w:t>
      </w:r>
      <w:r w:rsidR="000149DC">
        <w:rPr>
          <w:rStyle w:val="default"/>
          <w:rFonts w:cs="FrankRuehl" w:hint="cs"/>
          <w:rtl/>
        </w:rPr>
        <w:t>".</w:t>
      </w:r>
    </w:p>
    <w:p w:rsidR="0055782C" w:rsidRPr="000149DC" w:rsidRDefault="0055782C" w:rsidP="000149DC">
      <w:pPr>
        <w:pStyle w:val="P00"/>
        <w:spacing w:before="72"/>
        <w:ind w:left="0" w:right="1134"/>
        <w:rPr>
          <w:rStyle w:val="default"/>
          <w:rFonts w:cs="FrankRuehl" w:hint="cs"/>
          <w:rtl/>
        </w:rPr>
      </w:pPr>
    </w:p>
    <w:p w:rsidR="002053AF" w:rsidRPr="000149DC" w:rsidRDefault="002053AF" w:rsidP="000149DC">
      <w:pPr>
        <w:pStyle w:val="P00"/>
        <w:spacing w:before="72"/>
        <w:ind w:left="0" w:right="1134"/>
        <w:rPr>
          <w:rStyle w:val="default"/>
          <w:rFonts w:cs="FrankRuehl" w:hint="cs"/>
          <w:rtl/>
        </w:rPr>
      </w:pPr>
    </w:p>
    <w:p w:rsidR="00911999" w:rsidRDefault="00034A71" w:rsidP="00926CEE">
      <w:pPr>
        <w:pStyle w:val="sig-0"/>
        <w:tabs>
          <w:tab w:val="clear" w:pos="4820"/>
          <w:tab w:val="center" w:pos="5670"/>
        </w:tabs>
        <w:spacing w:before="72"/>
        <w:ind w:left="0" w:right="1134"/>
        <w:rPr>
          <w:rFonts w:cs="FrankRuehl" w:hint="cs"/>
          <w:sz w:val="26"/>
          <w:rtl/>
        </w:rPr>
      </w:pPr>
      <w:r>
        <w:rPr>
          <w:rFonts w:cs="FrankRuehl" w:hint="cs"/>
          <w:sz w:val="26"/>
          <w:rtl/>
        </w:rPr>
        <w:t>כ"ו באב התשפ"א (4 באוגוסט 2021</w:t>
      </w:r>
      <w:r w:rsidR="00911999">
        <w:rPr>
          <w:rFonts w:cs="FrankRuehl" w:hint="cs"/>
          <w:sz w:val="26"/>
          <w:rtl/>
        </w:rPr>
        <w:t>)</w:t>
      </w:r>
      <w:r w:rsidR="00911999">
        <w:rPr>
          <w:rFonts w:cs="FrankRuehl" w:hint="cs"/>
          <w:sz w:val="26"/>
          <w:rtl/>
        </w:rPr>
        <w:tab/>
      </w:r>
      <w:r w:rsidR="000149DC">
        <w:rPr>
          <w:rFonts w:cs="FrankRuehl" w:hint="cs"/>
          <w:sz w:val="26"/>
          <w:rtl/>
        </w:rPr>
        <w:t xml:space="preserve">אלוף </w:t>
      </w:r>
      <w:r>
        <w:rPr>
          <w:rFonts w:cs="FrankRuehl" w:hint="cs"/>
          <w:sz w:val="26"/>
          <w:rtl/>
        </w:rPr>
        <w:t>תמיר ידעי</w:t>
      </w:r>
    </w:p>
    <w:p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149DC">
        <w:rPr>
          <w:rFonts w:cs="FrankRuehl" w:hint="cs"/>
          <w:sz w:val="22"/>
          <w:szCs w:val="22"/>
          <w:rtl/>
        </w:rPr>
        <w:t>מפקד כוחות צה"ל</w:t>
      </w:r>
      <w:r w:rsidR="0008421C">
        <w:rPr>
          <w:rFonts w:cs="FrankRuehl" w:hint="cs"/>
          <w:sz w:val="22"/>
          <w:szCs w:val="22"/>
          <w:rtl/>
        </w:rPr>
        <w:t xml:space="preserve"> </w:t>
      </w:r>
    </w:p>
    <w:p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rsidR="005A4735" w:rsidRPr="000149DC" w:rsidRDefault="005A4735" w:rsidP="000149DC">
      <w:pPr>
        <w:pStyle w:val="P00"/>
        <w:spacing w:before="72"/>
        <w:ind w:left="0" w:right="1134"/>
        <w:rPr>
          <w:rStyle w:val="default"/>
          <w:rFonts w:cs="FrankRuehl"/>
          <w:rtl/>
        </w:rPr>
      </w:pPr>
    </w:p>
    <w:p w:rsidR="00CD5494" w:rsidRPr="00CD5494" w:rsidRDefault="00CD5494" w:rsidP="00CD5494">
      <w:pPr>
        <w:pStyle w:val="medium2-header"/>
        <w:keepLines w:val="0"/>
        <w:spacing w:before="72"/>
        <w:ind w:left="0" w:right="1134"/>
        <w:rPr>
          <w:rFonts w:cs="FrankRuehl"/>
          <w:noProof/>
          <w:sz w:val="20"/>
          <w:rtl/>
        </w:rPr>
      </w:pPr>
      <w:bookmarkStart w:id="16" w:name="med0"/>
      <w:bookmarkEnd w:id="16"/>
      <w:r>
        <w:rPr>
          <w:rFonts w:cs="FrankRuehl" w:hint="cs"/>
          <w:noProof/>
          <w:sz w:val="20"/>
          <w:rtl/>
        </w:rPr>
        <w:t>תוספת</w:t>
      </w:r>
    </w:p>
    <w:p w:rsidR="00DE4941" w:rsidRDefault="000149DC" w:rsidP="000149DC">
      <w:pPr>
        <w:pStyle w:val="sig-0"/>
        <w:tabs>
          <w:tab w:val="clear" w:pos="4820"/>
          <w:tab w:val="center" w:pos="5670"/>
        </w:tabs>
        <w:spacing w:before="72"/>
        <w:ind w:left="0" w:right="1134"/>
        <w:jc w:val="center"/>
        <w:rPr>
          <w:rFonts w:cs="FrankRuehl"/>
          <w:sz w:val="24"/>
          <w:szCs w:val="24"/>
          <w:rtl/>
        </w:rPr>
      </w:pPr>
      <w:r w:rsidRPr="000149DC">
        <w:rPr>
          <w:rFonts w:cs="FrankRuehl" w:hint="cs"/>
          <w:sz w:val="24"/>
          <w:szCs w:val="24"/>
          <w:rtl/>
        </w:rPr>
        <w:t>(סעיף 3, 4, 7(ב), 9)</w:t>
      </w:r>
    </w:p>
    <w:p w:rsidR="003919CB" w:rsidRPr="003919CB" w:rsidRDefault="003919CB" w:rsidP="003919CB">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3544"/>
      </w:tblGrid>
      <w:tr w:rsidR="000149DC" w:rsidRPr="002F004B" w:rsidTr="002F004B">
        <w:tc>
          <w:tcPr>
            <w:tcW w:w="4394" w:type="dxa"/>
            <w:shd w:val="clear" w:color="auto" w:fill="auto"/>
          </w:tcPr>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טור א'</w:t>
            </w:r>
          </w:p>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העבירות המינהליות</w:t>
            </w:r>
          </w:p>
        </w:tc>
        <w:tc>
          <w:tcPr>
            <w:tcW w:w="3544" w:type="dxa"/>
            <w:shd w:val="clear" w:color="auto" w:fill="auto"/>
          </w:tcPr>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טור ב'</w:t>
            </w:r>
          </w:p>
          <w:p w:rsidR="000149DC" w:rsidRPr="002F004B" w:rsidRDefault="000149DC" w:rsidP="002F004B">
            <w:pPr>
              <w:pStyle w:val="sig-0"/>
              <w:tabs>
                <w:tab w:val="clear" w:pos="4820"/>
              </w:tabs>
              <w:spacing w:before="0"/>
              <w:ind w:left="0"/>
              <w:jc w:val="center"/>
              <w:rPr>
                <w:rFonts w:cs="FrankRuehl"/>
                <w:sz w:val="18"/>
                <w:szCs w:val="22"/>
                <w:rtl/>
              </w:rPr>
            </w:pPr>
            <w:r w:rsidRPr="002F004B">
              <w:rPr>
                <w:rFonts w:cs="FrankRuehl" w:hint="cs"/>
                <w:sz w:val="18"/>
                <w:szCs w:val="22"/>
                <w:rtl/>
              </w:rPr>
              <w:t>קנס מינהלי קצוב בשקלים חדשים</w:t>
            </w:r>
          </w:p>
        </w:tc>
      </w:tr>
      <w:tr w:rsidR="000149DC" w:rsidRPr="002F004B" w:rsidTr="002F004B">
        <w:tc>
          <w:tcPr>
            <w:tcW w:w="4394" w:type="dxa"/>
            <w:shd w:val="clear" w:color="auto" w:fill="auto"/>
          </w:tcPr>
          <w:p w:rsidR="000149DC" w:rsidRPr="002F004B" w:rsidRDefault="000149DC" w:rsidP="002F004B">
            <w:pPr>
              <w:pStyle w:val="sig-0"/>
              <w:tabs>
                <w:tab w:val="clear" w:pos="4820"/>
              </w:tabs>
              <w:spacing w:before="0"/>
              <w:ind w:left="0"/>
              <w:jc w:val="left"/>
              <w:rPr>
                <w:rFonts w:cs="FrankRuehl" w:hint="cs"/>
                <w:szCs w:val="24"/>
                <w:rtl/>
              </w:rPr>
            </w:pPr>
            <w:r w:rsidRPr="002F004B">
              <w:rPr>
                <w:rFonts w:cs="FrankRuehl" w:hint="cs"/>
                <w:szCs w:val="24"/>
                <w:rtl/>
              </w:rPr>
              <w:t xml:space="preserve">(1) סעיף 1 לעניין סעיף 2(ד) להוראת </w:t>
            </w:r>
            <w:r w:rsidR="00034A71">
              <w:rPr>
                <w:rFonts w:cs="FrankRuehl" w:hint="cs"/>
                <w:szCs w:val="24"/>
                <w:rtl/>
              </w:rPr>
              <w:t>בידוד בית</w:t>
            </w:r>
          </w:p>
        </w:tc>
        <w:tc>
          <w:tcPr>
            <w:tcW w:w="3544" w:type="dxa"/>
            <w:shd w:val="clear" w:color="auto" w:fill="auto"/>
          </w:tcPr>
          <w:p w:rsidR="000149DC" w:rsidRPr="002F004B" w:rsidRDefault="000149DC" w:rsidP="002F004B">
            <w:pPr>
              <w:pStyle w:val="sig-0"/>
              <w:tabs>
                <w:tab w:val="clear" w:pos="4820"/>
              </w:tabs>
              <w:spacing w:before="0"/>
              <w:ind w:left="0"/>
              <w:jc w:val="center"/>
              <w:rPr>
                <w:rFonts w:cs="FrankRuehl"/>
                <w:szCs w:val="24"/>
                <w:rtl/>
              </w:rPr>
            </w:pPr>
            <w:r w:rsidRPr="002F004B">
              <w:rPr>
                <w:rFonts w:cs="FrankRuehl" w:hint="cs"/>
                <w:szCs w:val="24"/>
                <w:rtl/>
              </w:rPr>
              <w:t>5,000</w:t>
            </w:r>
          </w:p>
        </w:tc>
      </w:tr>
      <w:tr w:rsidR="000149DC" w:rsidRPr="002F004B" w:rsidTr="002F004B">
        <w:tc>
          <w:tcPr>
            <w:tcW w:w="4394" w:type="dxa"/>
            <w:shd w:val="clear" w:color="auto" w:fill="auto"/>
          </w:tcPr>
          <w:p w:rsidR="000149DC" w:rsidRPr="002F004B" w:rsidRDefault="000149DC" w:rsidP="002F004B">
            <w:pPr>
              <w:pStyle w:val="sig-0"/>
              <w:tabs>
                <w:tab w:val="clear" w:pos="4820"/>
              </w:tabs>
              <w:spacing w:before="0"/>
              <w:ind w:left="0"/>
              <w:jc w:val="left"/>
              <w:rPr>
                <w:rFonts w:cs="FrankRuehl" w:hint="cs"/>
                <w:szCs w:val="24"/>
                <w:rtl/>
              </w:rPr>
            </w:pPr>
            <w:r w:rsidRPr="002F004B">
              <w:rPr>
                <w:rFonts w:cs="FrankRuehl" w:hint="cs"/>
                <w:szCs w:val="24"/>
                <w:rtl/>
              </w:rPr>
              <w:t xml:space="preserve">(2) סעיף 1 לעניין סעיף 3 להוראת </w:t>
            </w:r>
            <w:r w:rsidR="00034A71">
              <w:rPr>
                <w:rFonts w:cs="FrankRuehl" w:hint="cs"/>
                <w:szCs w:val="24"/>
                <w:rtl/>
              </w:rPr>
              <w:t>בידוד בית</w:t>
            </w:r>
          </w:p>
        </w:tc>
        <w:tc>
          <w:tcPr>
            <w:tcW w:w="3544" w:type="dxa"/>
            <w:shd w:val="clear" w:color="auto" w:fill="auto"/>
          </w:tcPr>
          <w:p w:rsidR="000149DC" w:rsidRPr="002F004B" w:rsidRDefault="000149DC" w:rsidP="002F004B">
            <w:pPr>
              <w:pStyle w:val="sig-0"/>
              <w:tabs>
                <w:tab w:val="clear" w:pos="4820"/>
              </w:tabs>
              <w:spacing w:before="0"/>
              <w:ind w:left="0"/>
              <w:jc w:val="center"/>
              <w:rPr>
                <w:rFonts w:cs="FrankRuehl"/>
                <w:szCs w:val="24"/>
                <w:rtl/>
              </w:rPr>
            </w:pPr>
            <w:r w:rsidRPr="002F004B">
              <w:rPr>
                <w:rFonts w:cs="FrankRuehl" w:hint="cs"/>
                <w:szCs w:val="24"/>
                <w:rtl/>
              </w:rPr>
              <w:t>3,000</w:t>
            </w:r>
          </w:p>
        </w:tc>
      </w:tr>
      <w:tr w:rsidR="003919CB" w:rsidRPr="002F004B" w:rsidTr="002F004B">
        <w:tc>
          <w:tcPr>
            <w:tcW w:w="4394" w:type="dxa"/>
            <w:shd w:val="clear" w:color="auto" w:fill="auto"/>
          </w:tcPr>
          <w:p w:rsidR="003919CB" w:rsidRPr="002F004B" w:rsidRDefault="003919CB" w:rsidP="003919CB">
            <w:pPr>
              <w:pStyle w:val="sig-0"/>
              <w:tabs>
                <w:tab w:val="clear" w:pos="4820"/>
              </w:tabs>
              <w:spacing w:before="0"/>
              <w:ind w:left="0"/>
              <w:jc w:val="left"/>
              <w:rPr>
                <w:rFonts w:cs="FrankRuehl" w:hint="cs"/>
                <w:szCs w:val="24"/>
                <w:rtl/>
              </w:rPr>
            </w:pPr>
            <w:r w:rsidRPr="003919CB">
              <w:rPr>
                <w:rFonts w:cs="FrankRuehl" w:hint="cs"/>
                <w:szCs w:val="24"/>
                <w:rtl/>
              </w:rPr>
              <w:t>(3) סעיף 2(ב</w:t>
            </w:r>
            <w:r w:rsidR="00034A71">
              <w:rPr>
                <w:rFonts w:cs="FrankRuehl" w:hint="cs"/>
                <w:szCs w:val="24"/>
                <w:rtl/>
              </w:rPr>
              <w:t>)</w:t>
            </w:r>
          </w:p>
        </w:tc>
        <w:tc>
          <w:tcPr>
            <w:tcW w:w="3544" w:type="dxa"/>
            <w:shd w:val="clear" w:color="auto" w:fill="auto"/>
          </w:tcPr>
          <w:p w:rsidR="003919CB" w:rsidRPr="002F004B" w:rsidRDefault="003919CB" w:rsidP="003919CB">
            <w:pPr>
              <w:pStyle w:val="sig-0"/>
              <w:tabs>
                <w:tab w:val="clear" w:pos="4820"/>
              </w:tabs>
              <w:spacing w:before="0"/>
              <w:ind w:left="0"/>
              <w:jc w:val="center"/>
              <w:rPr>
                <w:rFonts w:cs="FrankRuehl"/>
                <w:szCs w:val="24"/>
                <w:rtl/>
              </w:rPr>
            </w:pPr>
            <w:r w:rsidRPr="003919CB">
              <w:rPr>
                <w:rFonts w:cs="FrankRuehl" w:hint="cs"/>
                <w:szCs w:val="24"/>
                <w:rtl/>
              </w:rPr>
              <w:t>1,000</w:t>
            </w:r>
          </w:p>
        </w:tc>
      </w:tr>
      <w:tr w:rsidR="00341F54" w:rsidRPr="002F004B" w:rsidTr="002F004B">
        <w:tc>
          <w:tcPr>
            <w:tcW w:w="4394" w:type="dxa"/>
            <w:shd w:val="clear" w:color="auto" w:fill="auto"/>
          </w:tcPr>
          <w:p w:rsidR="00341F54" w:rsidRPr="002F004B" w:rsidRDefault="00341F54" w:rsidP="00341F54">
            <w:pPr>
              <w:pStyle w:val="sig-0"/>
              <w:tabs>
                <w:tab w:val="clear" w:pos="4820"/>
              </w:tabs>
              <w:spacing w:before="0"/>
              <w:ind w:left="0"/>
              <w:jc w:val="left"/>
              <w:rPr>
                <w:rFonts w:cs="FrankRuehl" w:hint="cs"/>
                <w:szCs w:val="24"/>
                <w:rtl/>
              </w:rPr>
            </w:pPr>
            <w:r w:rsidRPr="00341F54">
              <w:rPr>
                <w:rFonts w:cs="FrankRuehl" w:hint="cs"/>
                <w:szCs w:val="24"/>
                <w:rtl/>
              </w:rPr>
              <w:t xml:space="preserve">(4) סעיף </w:t>
            </w:r>
            <w:r w:rsidR="00034A71">
              <w:rPr>
                <w:rFonts w:cs="FrankRuehl" w:hint="cs"/>
                <w:szCs w:val="24"/>
                <w:rtl/>
              </w:rPr>
              <w:t>2א</w:t>
            </w:r>
          </w:p>
        </w:tc>
        <w:tc>
          <w:tcPr>
            <w:tcW w:w="3544" w:type="dxa"/>
            <w:shd w:val="clear" w:color="auto" w:fill="auto"/>
          </w:tcPr>
          <w:p w:rsidR="00341F54" w:rsidRPr="002F004B" w:rsidRDefault="00341F54" w:rsidP="00341F54">
            <w:pPr>
              <w:pStyle w:val="sig-0"/>
              <w:tabs>
                <w:tab w:val="clear" w:pos="4820"/>
              </w:tabs>
              <w:spacing w:before="0"/>
              <w:ind w:left="0"/>
              <w:jc w:val="center"/>
              <w:rPr>
                <w:rFonts w:cs="FrankRuehl"/>
                <w:szCs w:val="24"/>
                <w:rtl/>
              </w:rPr>
            </w:pPr>
            <w:r w:rsidRPr="00341F54">
              <w:rPr>
                <w:rFonts w:cs="FrankRuehl" w:hint="cs"/>
                <w:szCs w:val="24"/>
                <w:rtl/>
              </w:rPr>
              <w:t>500</w:t>
            </w:r>
          </w:p>
        </w:tc>
      </w:tr>
    </w:tbl>
    <w:p w:rsidR="000149DC" w:rsidRPr="00034A71" w:rsidRDefault="000149DC" w:rsidP="00034A71">
      <w:pPr>
        <w:pStyle w:val="P00"/>
        <w:spacing w:before="72"/>
        <w:ind w:left="0" w:right="1134"/>
        <w:rPr>
          <w:rStyle w:val="default"/>
          <w:rFonts w:cs="FrankRuehl"/>
          <w:rtl/>
        </w:rPr>
      </w:pPr>
    </w:p>
    <w:p w:rsidR="005A4735" w:rsidRPr="00034A71" w:rsidRDefault="005A4735" w:rsidP="00034A71">
      <w:pPr>
        <w:pStyle w:val="P00"/>
        <w:spacing w:before="72"/>
        <w:ind w:left="0" w:right="1134"/>
        <w:rPr>
          <w:rStyle w:val="default"/>
          <w:rFonts w:cs="FrankRuehl"/>
          <w:rtl/>
        </w:rPr>
      </w:pPr>
    </w:p>
    <w:p w:rsidR="0058037F" w:rsidRDefault="0058037F" w:rsidP="00034A71">
      <w:pPr>
        <w:pStyle w:val="P00"/>
        <w:spacing w:before="72"/>
        <w:ind w:left="0" w:right="1134"/>
        <w:rPr>
          <w:rStyle w:val="default"/>
          <w:rFonts w:cs="FrankRuehl"/>
          <w:rtl/>
        </w:rPr>
      </w:pPr>
    </w:p>
    <w:p w:rsidR="0058037F" w:rsidRDefault="0058037F" w:rsidP="00034A71">
      <w:pPr>
        <w:pStyle w:val="P00"/>
        <w:spacing w:before="72"/>
        <w:ind w:left="0" w:right="1134"/>
        <w:rPr>
          <w:rStyle w:val="default"/>
          <w:rFonts w:cs="FrankRuehl"/>
          <w:rtl/>
        </w:rPr>
      </w:pPr>
    </w:p>
    <w:p w:rsidR="0058037F" w:rsidRDefault="0058037F" w:rsidP="0058037F">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5A4735" w:rsidRPr="0058037F" w:rsidRDefault="005A4735" w:rsidP="0058037F">
      <w:pPr>
        <w:pStyle w:val="P00"/>
        <w:spacing w:before="72"/>
        <w:ind w:left="0" w:right="1134"/>
        <w:jc w:val="center"/>
        <w:rPr>
          <w:rStyle w:val="default"/>
          <w:rFonts w:cs="David"/>
          <w:color w:val="0000FF"/>
          <w:szCs w:val="24"/>
          <w:u w:val="single"/>
          <w:rtl/>
        </w:rPr>
      </w:pPr>
    </w:p>
    <w:sectPr w:rsidR="005A4735" w:rsidRPr="0058037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4171" w:rsidRDefault="00874171">
      <w:r>
        <w:separator/>
      </w:r>
    </w:p>
  </w:endnote>
  <w:endnote w:type="continuationSeparator" w:id="0">
    <w:p w:rsidR="00874171" w:rsidRDefault="0087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E66D2">
      <w:rPr>
        <w:rFonts w:hAnsi="FrankRuehl" w:cs="FrankRuehl"/>
        <w:noProof/>
        <w:sz w:val="24"/>
        <w:szCs w:val="24"/>
        <w:rtl/>
      </w:rPr>
      <w:t>3</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4171" w:rsidRDefault="00874171">
      <w:pPr>
        <w:pStyle w:val="a5"/>
        <w:spacing w:before="60"/>
        <w:ind w:right="1134"/>
        <w:rPr>
          <w:rFonts w:cs="David"/>
          <w:sz w:val="24"/>
          <w:szCs w:val="24"/>
        </w:rPr>
      </w:pPr>
      <w:r>
        <w:separator/>
      </w:r>
    </w:p>
  </w:footnote>
  <w:footnote w:type="continuationSeparator" w:id="0">
    <w:p w:rsidR="00874171" w:rsidRDefault="00874171">
      <w:pPr>
        <w:spacing w:before="60"/>
        <w:ind w:right="1134"/>
      </w:pPr>
      <w:r>
        <w:separator/>
      </w:r>
    </w:p>
  </w:footnote>
  <w:footnote w:id="1">
    <w:p w:rsidR="002E66D2" w:rsidRPr="00366DD7" w:rsidRDefault="00636CFA" w:rsidP="002E66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5A4735">
        <w:rPr>
          <w:rFonts w:cs="FrankRuehl" w:hint="cs"/>
          <w:rtl/>
        </w:rPr>
        <w:t>פורסם</w:t>
      </w:r>
      <w:r w:rsidR="00B85EA5">
        <w:rPr>
          <w:rFonts w:cs="FrankRuehl" w:hint="cs"/>
          <w:rtl/>
        </w:rPr>
        <w:t xml:space="preserve"> </w:t>
      </w:r>
      <w:hyperlink r:id="rId1" w:history="1">
        <w:r w:rsidR="00B85EA5" w:rsidRPr="002E66D2">
          <w:rPr>
            <w:rStyle w:val="Hyperlink"/>
            <w:rFonts w:cs="FrankRuehl" w:hint="cs"/>
            <w:rtl/>
          </w:rPr>
          <w:t>קובץ המנשרים מס' 258</w:t>
        </w:r>
      </w:hyperlink>
      <w:r w:rsidR="00B85EA5">
        <w:rPr>
          <w:rFonts w:cs="FrankRuehl" w:hint="cs"/>
          <w:rtl/>
        </w:rPr>
        <w:t xml:space="preserve"> מחודש נובמבר 2021 עמ' 11530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965A9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5A4735">
      <w:rPr>
        <w:rFonts w:hAnsi="FrankRuehl" w:cs="FrankRuehl" w:hint="cs"/>
        <w:color w:val="000000"/>
        <w:sz w:val="28"/>
        <w:szCs w:val="28"/>
        <w:rtl/>
      </w:rPr>
      <w:t>אכיפה</w:t>
    </w:r>
    <w:r w:rsidR="00893E9E">
      <w:rPr>
        <w:rFonts w:hAnsi="FrankRuehl" w:cs="FrankRuehl" w:hint="cs"/>
        <w:color w:val="000000"/>
        <w:sz w:val="28"/>
        <w:szCs w:val="28"/>
        <w:rtl/>
      </w:rPr>
      <w:t xml:space="preserve"> (נגיף הקורונה) (</w:t>
    </w:r>
    <w:r>
      <w:rPr>
        <w:rFonts w:hAnsi="FrankRuehl" w:cs="FrankRuehl" w:hint="cs"/>
        <w:color w:val="000000"/>
        <w:sz w:val="28"/>
        <w:szCs w:val="28"/>
        <w:rtl/>
      </w:rPr>
      <w:t xml:space="preserve">יהודה ושומרון) (מס' </w:t>
    </w:r>
    <w:r w:rsidR="005A4735">
      <w:rPr>
        <w:rFonts w:hAnsi="FrankRuehl" w:cs="FrankRuehl" w:hint="cs"/>
        <w:color w:val="000000"/>
        <w:sz w:val="28"/>
        <w:szCs w:val="28"/>
        <w:rtl/>
      </w:rPr>
      <w:t>2063</w:t>
    </w:r>
    <w:r>
      <w:rPr>
        <w:rFonts w:hAnsi="FrankRuehl" w:cs="FrankRuehl" w:hint="cs"/>
        <w:color w:val="000000"/>
        <w:sz w:val="28"/>
        <w:szCs w:val="28"/>
        <w:rtl/>
      </w:rPr>
      <w:t xml:space="preserve">) </w:t>
    </w:r>
    <w:r w:rsidR="00893E9E">
      <w:rPr>
        <w:rFonts w:hAnsi="FrankRuehl" w:cs="FrankRuehl" w:hint="cs"/>
        <w:color w:val="000000"/>
        <w:sz w:val="28"/>
        <w:szCs w:val="28"/>
        <w:rtl/>
      </w:rPr>
      <w:t xml:space="preserve">(הוראת שעה), </w:t>
    </w:r>
    <w:r w:rsidR="005A4735">
      <w:rPr>
        <w:rFonts w:hAnsi="FrankRuehl" w:cs="FrankRuehl" w:hint="cs"/>
        <w:color w:val="000000"/>
        <w:sz w:val="28"/>
        <w:szCs w:val="28"/>
        <w:rtl/>
      </w:rPr>
      <w:t>תשפ"א-2021</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997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49DC"/>
    <w:rsid w:val="0002020A"/>
    <w:rsid w:val="00023674"/>
    <w:rsid w:val="00034A71"/>
    <w:rsid w:val="00037B96"/>
    <w:rsid w:val="00063410"/>
    <w:rsid w:val="00065347"/>
    <w:rsid w:val="00070A3B"/>
    <w:rsid w:val="000752E2"/>
    <w:rsid w:val="000829DB"/>
    <w:rsid w:val="0008421C"/>
    <w:rsid w:val="00084E0A"/>
    <w:rsid w:val="00085161"/>
    <w:rsid w:val="000B2E3C"/>
    <w:rsid w:val="000B3344"/>
    <w:rsid w:val="000B4A5D"/>
    <w:rsid w:val="000D4908"/>
    <w:rsid w:val="000D661F"/>
    <w:rsid w:val="000F7068"/>
    <w:rsid w:val="00101AB3"/>
    <w:rsid w:val="001123D5"/>
    <w:rsid w:val="001138A1"/>
    <w:rsid w:val="00120B4B"/>
    <w:rsid w:val="00136772"/>
    <w:rsid w:val="001416DA"/>
    <w:rsid w:val="001566AF"/>
    <w:rsid w:val="00164CE3"/>
    <w:rsid w:val="00166F0E"/>
    <w:rsid w:val="00171444"/>
    <w:rsid w:val="00172C7F"/>
    <w:rsid w:val="00185D19"/>
    <w:rsid w:val="001956C4"/>
    <w:rsid w:val="001966AA"/>
    <w:rsid w:val="001A17DA"/>
    <w:rsid w:val="001B159C"/>
    <w:rsid w:val="001B47AC"/>
    <w:rsid w:val="001D326B"/>
    <w:rsid w:val="001E1301"/>
    <w:rsid w:val="001E3CA0"/>
    <w:rsid w:val="001F398C"/>
    <w:rsid w:val="001F4F17"/>
    <w:rsid w:val="002053AF"/>
    <w:rsid w:val="00215EBB"/>
    <w:rsid w:val="00225D12"/>
    <w:rsid w:val="002311DB"/>
    <w:rsid w:val="00236005"/>
    <w:rsid w:val="00253756"/>
    <w:rsid w:val="00253D46"/>
    <w:rsid w:val="00264AFB"/>
    <w:rsid w:val="00274204"/>
    <w:rsid w:val="0027455F"/>
    <w:rsid w:val="00275202"/>
    <w:rsid w:val="00277AFA"/>
    <w:rsid w:val="00281140"/>
    <w:rsid w:val="00285062"/>
    <w:rsid w:val="002A4B71"/>
    <w:rsid w:val="002B6FB0"/>
    <w:rsid w:val="002D1429"/>
    <w:rsid w:val="002D7335"/>
    <w:rsid w:val="002E532F"/>
    <w:rsid w:val="002E66D2"/>
    <w:rsid w:val="002F004B"/>
    <w:rsid w:val="002F2A28"/>
    <w:rsid w:val="0030176C"/>
    <w:rsid w:val="00313DC1"/>
    <w:rsid w:val="00317907"/>
    <w:rsid w:val="00331F6C"/>
    <w:rsid w:val="00341F54"/>
    <w:rsid w:val="003452A1"/>
    <w:rsid w:val="00345E6E"/>
    <w:rsid w:val="00366DD7"/>
    <w:rsid w:val="0038011A"/>
    <w:rsid w:val="003919CB"/>
    <w:rsid w:val="00395AC3"/>
    <w:rsid w:val="003A25D0"/>
    <w:rsid w:val="003B3302"/>
    <w:rsid w:val="003C0628"/>
    <w:rsid w:val="003C6A9A"/>
    <w:rsid w:val="003D5A87"/>
    <w:rsid w:val="003F0438"/>
    <w:rsid w:val="00402B42"/>
    <w:rsid w:val="0042647E"/>
    <w:rsid w:val="0043008A"/>
    <w:rsid w:val="004324C9"/>
    <w:rsid w:val="00437A30"/>
    <w:rsid w:val="00437E1A"/>
    <w:rsid w:val="00446D35"/>
    <w:rsid w:val="00471336"/>
    <w:rsid w:val="004770F2"/>
    <w:rsid w:val="00484CA8"/>
    <w:rsid w:val="00485F81"/>
    <w:rsid w:val="00495F5D"/>
    <w:rsid w:val="004963D7"/>
    <w:rsid w:val="004A0AD4"/>
    <w:rsid w:val="004B14A4"/>
    <w:rsid w:val="004C01E0"/>
    <w:rsid w:val="004D1872"/>
    <w:rsid w:val="004E17A2"/>
    <w:rsid w:val="00503573"/>
    <w:rsid w:val="005059C0"/>
    <w:rsid w:val="00507CDB"/>
    <w:rsid w:val="0055782C"/>
    <w:rsid w:val="00573837"/>
    <w:rsid w:val="0057518C"/>
    <w:rsid w:val="0058037F"/>
    <w:rsid w:val="005A4735"/>
    <w:rsid w:val="005B1D6F"/>
    <w:rsid w:val="005B20B5"/>
    <w:rsid w:val="005B2C2E"/>
    <w:rsid w:val="005D1568"/>
    <w:rsid w:val="005D4BE6"/>
    <w:rsid w:val="005E40B0"/>
    <w:rsid w:val="005E626F"/>
    <w:rsid w:val="0060149C"/>
    <w:rsid w:val="00605E78"/>
    <w:rsid w:val="006066C4"/>
    <w:rsid w:val="00614C50"/>
    <w:rsid w:val="0061738B"/>
    <w:rsid w:val="00625CED"/>
    <w:rsid w:val="00630818"/>
    <w:rsid w:val="006354DF"/>
    <w:rsid w:val="00636CFA"/>
    <w:rsid w:val="00643D25"/>
    <w:rsid w:val="00655997"/>
    <w:rsid w:val="006571AC"/>
    <w:rsid w:val="00673CED"/>
    <w:rsid w:val="00676224"/>
    <w:rsid w:val="006B5F71"/>
    <w:rsid w:val="006B7D6C"/>
    <w:rsid w:val="006D39F9"/>
    <w:rsid w:val="006E6B41"/>
    <w:rsid w:val="006E7860"/>
    <w:rsid w:val="006F587F"/>
    <w:rsid w:val="00720DFC"/>
    <w:rsid w:val="007315F5"/>
    <w:rsid w:val="0073216C"/>
    <w:rsid w:val="00735CD8"/>
    <w:rsid w:val="0073717C"/>
    <w:rsid w:val="0075546F"/>
    <w:rsid w:val="007663DC"/>
    <w:rsid w:val="00771709"/>
    <w:rsid w:val="00771B15"/>
    <w:rsid w:val="00775543"/>
    <w:rsid w:val="0077588F"/>
    <w:rsid w:val="007846BD"/>
    <w:rsid w:val="00797690"/>
    <w:rsid w:val="007A33E0"/>
    <w:rsid w:val="007B2BCC"/>
    <w:rsid w:val="007B3FB3"/>
    <w:rsid w:val="008344B0"/>
    <w:rsid w:val="00857B7D"/>
    <w:rsid w:val="00866C68"/>
    <w:rsid w:val="00867B9C"/>
    <w:rsid w:val="00874171"/>
    <w:rsid w:val="00887B67"/>
    <w:rsid w:val="00893E9E"/>
    <w:rsid w:val="0089610D"/>
    <w:rsid w:val="00896624"/>
    <w:rsid w:val="008B47BE"/>
    <w:rsid w:val="008B4D34"/>
    <w:rsid w:val="008B677C"/>
    <w:rsid w:val="008C4B4A"/>
    <w:rsid w:val="008F278D"/>
    <w:rsid w:val="00902375"/>
    <w:rsid w:val="00911999"/>
    <w:rsid w:val="00923799"/>
    <w:rsid w:val="00926CEE"/>
    <w:rsid w:val="00930451"/>
    <w:rsid w:val="009377E0"/>
    <w:rsid w:val="0094672A"/>
    <w:rsid w:val="009501E9"/>
    <w:rsid w:val="00950D54"/>
    <w:rsid w:val="00960CD6"/>
    <w:rsid w:val="00965A9D"/>
    <w:rsid w:val="00966538"/>
    <w:rsid w:val="00975159"/>
    <w:rsid w:val="00995696"/>
    <w:rsid w:val="009B4BA9"/>
    <w:rsid w:val="009C338E"/>
    <w:rsid w:val="009C5A3C"/>
    <w:rsid w:val="009E037F"/>
    <w:rsid w:val="009E2AA5"/>
    <w:rsid w:val="009F0783"/>
    <w:rsid w:val="009F7651"/>
    <w:rsid w:val="00A03B50"/>
    <w:rsid w:val="00A22039"/>
    <w:rsid w:val="00A46F6E"/>
    <w:rsid w:val="00A55943"/>
    <w:rsid w:val="00A55C2A"/>
    <w:rsid w:val="00A7392C"/>
    <w:rsid w:val="00A757D3"/>
    <w:rsid w:val="00A825C8"/>
    <w:rsid w:val="00A940DE"/>
    <w:rsid w:val="00AA48EF"/>
    <w:rsid w:val="00AA664A"/>
    <w:rsid w:val="00AA79D6"/>
    <w:rsid w:val="00AB1BE2"/>
    <w:rsid w:val="00AB754C"/>
    <w:rsid w:val="00AE4033"/>
    <w:rsid w:val="00AE4EAA"/>
    <w:rsid w:val="00AE7882"/>
    <w:rsid w:val="00AF5B24"/>
    <w:rsid w:val="00AF5C30"/>
    <w:rsid w:val="00B115BA"/>
    <w:rsid w:val="00B235FC"/>
    <w:rsid w:val="00B25FF9"/>
    <w:rsid w:val="00B33BB5"/>
    <w:rsid w:val="00B40BA7"/>
    <w:rsid w:val="00B40E19"/>
    <w:rsid w:val="00B47ABB"/>
    <w:rsid w:val="00B831A9"/>
    <w:rsid w:val="00B85EA5"/>
    <w:rsid w:val="00B91D00"/>
    <w:rsid w:val="00B9406F"/>
    <w:rsid w:val="00BA1195"/>
    <w:rsid w:val="00BB5224"/>
    <w:rsid w:val="00BB717E"/>
    <w:rsid w:val="00BD65CB"/>
    <w:rsid w:val="00BE7015"/>
    <w:rsid w:val="00C074DF"/>
    <w:rsid w:val="00C14FFB"/>
    <w:rsid w:val="00C25EAA"/>
    <w:rsid w:val="00C3011E"/>
    <w:rsid w:val="00C3798C"/>
    <w:rsid w:val="00C455CF"/>
    <w:rsid w:val="00C53523"/>
    <w:rsid w:val="00C56AD1"/>
    <w:rsid w:val="00C624D2"/>
    <w:rsid w:val="00C67430"/>
    <w:rsid w:val="00C70761"/>
    <w:rsid w:val="00C71695"/>
    <w:rsid w:val="00C82F1D"/>
    <w:rsid w:val="00C935EB"/>
    <w:rsid w:val="00C953B9"/>
    <w:rsid w:val="00CA1F51"/>
    <w:rsid w:val="00CC0D05"/>
    <w:rsid w:val="00CC1C98"/>
    <w:rsid w:val="00CC5C56"/>
    <w:rsid w:val="00CD5494"/>
    <w:rsid w:val="00CE4364"/>
    <w:rsid w:val="00CE48DF"/>
    <w:rsid w:val="00CE6730"/>
    <w:rsid w:val="00CF5A40"/>
    <w:rsid w:val="00D06148"/>
    <w:rsid w:val="00D164BE"/>
    <w:rsid w:val="00D33BB2"/>
    <w:rsid w:val="00D37DB8"/>
    <w:rsid w:val="00D42779"/>
    <w:rsid w:val="00D47A52"/>
    <w:rsid w:val="00D65FF0"/>
    <w:rsid w:val="00D67DCF"/>
    <w:rsid w:val="00D73EA4"/>
    <w:rsid w:val="00D74415"/>
    <w:rsid w:val="00D85F87"/>
    <w:rsid w:val="00D9062F"/>
    <w:rsid w:val="00DA6A4A"/>
    <w:rsid w:val="00DC37A0"/>
    <w:rsid w:val="00DD1BD6"/>
    <w:rsid w:val="00DE1035"/>
    <w:rsid w:val="00DE4941"/>
    <w:rsid w:val="00E02870"/>
    <w:rsid w:val="00E179B5"/>
    <w:rsid w:val="00E26AC1"/>
    <w:rsid w:val="00E34AA7"/>
    <w:rsid w:val="00E36A59"/>
    <w:rsid w:val="00E50E33"/>
    <w:rsid w:val="00E624F0"/>
    <w:rsid w:val="00E84C43"/>
    <w:rsid w:val="00E915B4"/>
    <w:rsid w:val="00E9795A"/>
    <w:rsid w:val="00EA4971"/>
    <w:rsid w:val="00EC221B"/>
    <w:rsid w:val="00ED7514"/>
    <w:rsid w:val="00EE496E"/>
    <w:rsid w:val="00EF5F4F"/>
    <w:rsid w:val="00F03C95"/>
    <w:rsid w:val="00F2110E"/>
    <w:rsid w:val="00F43ADB"/>
    <w:rsid w:val="00F67189"/>
    <w:rsid w:val="00F84585"/>
    <w:rsid w:val="00F8795F"/>
    <w:rsid w:val="00F92576"/>
    <w:rsid w:val="00FA4A32"/>
    <w:rsid w:val="00FA5206"/>
    <w:rsid w:val="00FB2C20"/>
    <w:rsid w:val="00FC5C6C"/>
    <w:rsid w:val="00FC67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CE2E19F1-76C3-4243-AA42-43A0752A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table" w:styleId="a8">
    <w:name w:val="Table Grid"/>
    <w:basedOn w:val="a1"/>
    <w:rsid w:val="00014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471336"/>
    <w:rPr>
      <w:color w:val="605E5C"/>
      <w:shd w:val="clear" w:color="auto" w:fill="E1DFDD"/>
    </w:rPr>
  </w:style>
  <w:style w:type="paragraph" w:styleId="a9">
    <w:name w:val="Balloon Text"/>
    <w:basedOn w:val="a"/>
    <w:link w:val="aa"/>
    <w:rsid w:val="00D37DB8"/>
    <w:rPr>
      <w:rFonts w:ascii="Segoe UI" w:hAnsi="Segoe UI" w:cs="Segoe UI"/>
      <w:sz w:val="18"/>
      <w:szCs w:val="18"/>
    </w:rPr>
  </w:style>
  <w:style w:type="character" w:customStyle="1" w:styleId="aa">
    <w:name w:val="טקסט בלונים תו"/>
    <w:link w:val="a9"/>
    <w:rsid w:val="00D37DB8"/>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51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6454</CharactersWithSpaces>
  <SharedDoc>false</SharedDoc>
  <HLinks>
    <vt:vector size="96" baseType="variant">
      <vt:variant>
        <vt:i4>393283</vt:i4>
      </vt:variant>
      <vt:variant>
        <vt:i4>84</vt:i4>
      </vt:variant>
      <vt:variant>
        <vt:i4>0</vt:i4>
      </vt:variant>
      <vt:variant>
        <vt:i4>5</vt:i4>
      </vt:variant>
      <vt:variant>
        <vt:lpwstr>http://www.nevo.co.il/advertisements/nevo-100.doc</vt:lpwstr>
      </vt:variant>
      <vt:variant>
        <vt:lpwstr/>
      </vt:variant>
      <vt:variant>
        <vt:i4>5570569</vt:i4>
      </vt:variant>
      <vt:variant>
        <vt:i4>78</vt:i4>
      </vt:variant>
      <vt:variant>
        <vt:i4>0</vt:i4>
      </vt:variant>
      <vt:variant>
        <vt:i4>5</vt:i4>
      </vt:variant>
      <vt:variant>
        <vt:lpwstr/>
      </vt:variant>
      <vt:variant>
        <vt:lpwstr>med0</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3145771</vt:i4>
      </vt:variant>
      <vt:variant>
        <vt:i4>54</vt:i4>
      </vt:variant>
      <vt:variant>
        <vt:i4>0</vt:i4>
      </vt:variant>
      <vt:variant>
        <vt:i4>5</vt:i4>
      </vt:variant>
      <vt:variant>
        <vt:lpwstr/>
      </vt:variant>
      <vt:variant>
        <vt:lpwstr>Seif13</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Seif4</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6553609</vt:i4>
      </vt:variant>
      <vt:variant>
        <vt:i4>0</vt:i4>
      </vt:variant>
      <vt:variant>
        <vt:i4>0</vt:i4>
      </vt:variant>
      <vt:variant>
        <vt:i4>5</vt:i4>
      </vt:variant>
      <vt:variant>
        <vt:lpwstr>https://www.nevo.co.il/law_html/law70/zava-0258.pdf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אכיפה (נגיף הקורונה) (יהודה ושומרון) (מס' 2063) (הוראת שעה), תשפ"א-2021</vt:lpwstr>
  </property>
  <property fmtid="{D5CDD505-2E9C-101B-9397-08002B2CF9AE}" pid="4" name="LAWNUMBER">
    <vt:lpwstr>0140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LINKK1">
    <vt:lpwstr>https://www.nevo.co.il/law_html/law70/zava-0258.pdf;‎קמצ"ם#פורסם קובץ המנשרים מס' 258 ‏‏#מחודש נובמבר 2021 עמ' 11530‏</vt:lpwstr>
  </property>
  <property fmtid="{D5CDD505-2E9C-101B-9397-08002B2CF9AE}" pid="20" name="LINKK2">
    <vt:lpwstr/>
  </property>
  <property fmtid="{D5CDD505-2E9C-101B-9397-08002B2CF9AE}" pid="21" name="LINKK3">
    <vt:lpwstr/>
  </property>
  <property fmtid="{D5CDD505-2E9C-101B-9397-08002B2CF9AE}" pid="22" name="LINKK4">
    <vt:lpwstr/>
  </property>
</Properties>
</file>