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965A9D" w:rsidP="00317907">
      <w:pPr>
        <w:pStyle w:val="big-header"/>
        <w:ind w:left="0" w:right="1134"/>
        <w:rPr>
          <w:rFonts w:cs="FrankRuehl" w:hint="cs"/>
          <w:sz w:val="32"/>
          <w:rtl/>
        </w:rPr>
      </w:pPr>
      <w:r>
        <w:rPr>
          <w:rFonts w:cs="FrankRuehl" w:hint="cs"/>
          <w:sz w:val="32"/>
          <w:rtl/>
        </w:rPr>
        <w:t xml:space="preserve">צו בדבר </w:t>
      </w:r>
      <w:r w:rsidR="004C086D">
        <w:rPr>
          <w:rFonts w:cs="FrankRuehl" w:hint="cs"/>
          <w:sz w:val="32"/>
          <w:rtl/>
        </w:rPr>
        <w:t>דחיית מועדים בענייני תכנון ובנייה</w:t>
      </w:r>
      <w:r w:rsidR="00893E9E">
        <w:rPr>
          <w:rFonts w:cs="FrankRuehl" w:hint="cs"/>
          <w:sz w:val="32"/>
          <w:rtl/>
        </w:rPr>
        <w:t xml:space="preserve"> (נגיף הקורונה החדש 2019) (</w:t>
      </w:r>
      <w:r>
        <w:rPr>
          <w:rFonts w:cs="FrankRuehl" w:hint="cs"/>
          <w:sz w:val="32"/>
          <w:rtl/>
        </w:rPr>
        <w:t>יהודה ושומרון) (מס' 18</w:t>
      </w:r>
      <w:r w:rsidR="004C086D">
        <w:rPr>
          <w:rFonts w:cs="FrankRuehl" w:hint="cs"/>
          <w:sz w:val="32"/>
          <w:rtl/>
        </w:rPr>
        <w:t>40</w:t>
      </w:r>
      <w:r>
        <w:rPr>
          <w:rFonts w:cs="FrankRuehl" w:hint="cs"/>
          <w:sz w:val="32"/>
          <w:rtl/>
        </w:rPr>
        <w:t xml:space="preserve">) </w:t>
      </w:r>
      <w:r w:rsidR="00893E9E">
        <w:rPr>
          <w:rFonts w:cs="FrankRuehl" w:hint="cs"/>
          <w:sz w:val="32"/>
          <w:rtl/>
        </w:rPr>
        <w:t>(הוראת שעה), תש"ף-2020</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1 </w:t>
            </w:r>
          </w:p>
        </w:tc>
        <w:tc>
          <w:tcPr>
            <w:tcW w:w="5669" w:type="dxa"/>
          </w:tcPr>
          <w:p w:rsidR="00A950F7" w:rsidRPr="00A950F7" w:rsidRDefault="00A950F7" w:rsidP="00A950F7">
            <w:pPr>
              <w:rPr>
                <w:rFonts w:cs="Frankruhel" w:hint="cs"/>
                <w:rtl/>
              </w:rPr>
            </w:pPr>
            <w:r>
              <w:rPr>
                <w:rtl/>
              </w:rPr>
              <w:t>הגדרות</w:t>
            </w:r>
          </w:p>
        </w:tc>
        <w:tc>
          <w:tcPr>
            <w:tcW w:w="567" w:type="dxa"/>
          </w:tcPr>
          <w:p w:rsidR="00A950F7" w:rsidRPr="00A950F7" w:rsidRDefault="00A950F7" w:rsidP="00A950F7">
            <w:pPr>
              <w:rPr>
                <w:rStyle w:val="Hyperlink"/>
                <w:rFonts w:hint="cs"/>
                <w:rtl/>
              </w:rPr>
            </w:pPr>
            <w:hyperlink w:anchor="Seif1" w:tooltip="הגדרות"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2 </w:t>
            </w:r>
          </w:p>
        </w:tc>
        <w:tc>
          <w:tcPr>
            <w:tcW w:w="5669" w:type="dxa"/>
          </w:tcPr>
          <w:p w:rsidR="00A950F7" w:rsidRPr="00A950F7" w:rsidRDefault="00A950F7" w:rsidP="00A950F7">
            <w:pPr>
              <w:rPr>
                <w:rFonts w:cs="Frankruhel" w:hint="cs"/>
                <w:rtl/>
              </w:rPr>
            </w:pPr>
            <w:r>
              <w:rPr>
                <w:rtl/>
              </w:rPr>
              <w:t>דחיית מועדים ותקופות</w:t>
            </w:r>
          </w:p>
        </w:tc>
        <w:tc>
          <w:tcPr>
            <w:tcW w:w="567" w:type="dxa"/>
          </w:tcPr>
          <w:p w:rsidR="00A950F7" w:rsidRPr="00A950F7" w:rsidRDefault="00A950F7" w:rsidP="00A950F7">
            <w:pPr>
              <w:rPr>
                <w:rStyle w:val="Hyperlink"/>
                <w:rFonts w:hint="cs"/>
                <w:rtl/>
              </w:rPr>
            </w:pPr>
            <w:hyperlink w:anchor="Seif3" w:tooltip="דחיית מועדים ותקופות"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3 </w:t>
            </w:r>
          </w:p>
        </w:tc>
        <w:tc>
          <w:tcPr>
            <w:tcW w:w="5669" w:type="dxa"/>
          </w:tcPr>
          <w:p w:rsidR="00A950F7" w:rsidRPr="00A950F7" w:rsidRDefault="00A950F7" w:rsidP="00A950F7">
            <w:pPr>
              <w:rPr>
                <w:rFonts w:cs="Frankruhel" w:hint="cs"/>
                <w:rtl/>
              </w:rPr>
            </w:pPr>
            <w:r>
              <w:rPr>
                <w:rtl/>
              </w:rPr>
              <w:t>תיקון תקנות היתר ותנאיו</w:t>
            </w:r>
          </w:p>
        </w:tc>
        <w:tc>
          <w:tcPr>
            <w:tcW w:w="567" w:type="dxa"/>
          </w:tcPr>
          <w:p w:rsidR="00A950F7" w:rsidRPr="00A950F7" w:rsidRDefault="00A950F7" w:rsidP="00A950F7">
            <w:pPr>
              <w:rPr>
                <w:rStyle w:val="Hyperlink"/>
                <w:rFonts w:hint="cs"/>
                <w:rtl/>
              </w:rPr>
            </w:pPr>
            <w:hyperlink w:anchor="Seif4" w:tooltip="תיקון תקנות היתר ותנאיו"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4 </w:t>
            </w:r>
          </w:p>
        </w:tc>
        <w:tc>
          <w:tcPr>
            <w:tcW w:w="5669" w:type="dxa"/>
          </w:tcPr>
          <w:p w:rsidR="00A950F7" w:rsidRPr="00A950F7" w:rsidRDefault="00A950F7" w:rsidP="00A950F7">
            <w:pPr>
              <w:rPr>
                <w:rFonts w:cs="Frankruhel" w:hint="cs"/>
                <w:rtl/>
              </w:rPr>
            </w:pPr>
            <w:r>
              <w:rPr>
                <w:rtl/>
              </w:rPr>
              <w:t>תיקון צו בדבר פרסום תכניות</w:t>
            </w:r>
          </w:p>
        </w:tc>
        <w:tc>
          <w:tcPr>
            <w:tcW w:w="567" w:type="dxa"/>
          </w:tcPr>
          <w:p w:rsidR="00A950F7" w:rsidRPr="00A950F7" w:rsidRDefault="00A950F7" w:rsidP="00A950F7">
            <w:pPr>
              <w:rPr>
                <w:rStyle w:val="Hyperlink"/>
                <w:rFonts w:hint="cs"/>
                <w:rtl/>
              </w:rPr>
            </w:pPr>
            <w:hyperlink w:anchor="Seif2" w:tooltip="תיקון צו בדבר פרסום תכניות"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5 </w:t>
            </w:r>
          </w:p>
        </w:tc>
        <w:tc>
          <w:tcPr>
            <w:tcW w:w="5669" w:type="dxa"/>
          </w:tcPr>
          <w:p w:rsidR="00A950F7" w:rsidRPr="00A950F7" w:rsidRDefault="00A950F7" w:rsidP="00A950F7">
            <w:pPr>
              <w:rPr>
                <w:rFonts w:cs="Frankruhel" w:hint="cs"/>
                <w:rtl/>
              </w:rPr>
            </w:pPr>
            <w:r>
              <w:rPr>
                <w:rtl/>
              </w:rPr>
              <w:t>תוקף</w:t>
            </w:r>
          </w:p>
        </w:tc>
        <w:tc>
          <w:tcPr>
            <w:tcW w:w="567" w:type="dxa"/>
          </w:tcPr>
          <w:p w:rsidR="00A950F7" w:rsidRPr="00A950F7" w:rsidRDefault="00A950F7" w:rsidP="00A950F7">
            <w:pPr>
              <w:rPr>
                <w:rStyle w:val="Hyperlink"/>
                <w:rFonts w:hint="cs"/>
                <w:rtl/>
              </w:rPr>
            </w:pPr>
            <w:hyperlink w:anchor="Seif5" w:tooltip="תוקף"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950F7" w:rsidRPr="00A950F7" w:rsidTr="00A950F7">
        <w:tblPrEx>
          <w:tblCellMar>
            <w:top w:w="0" w:type="dxa"/>
            <w:bottom w:w="0" w:type="dxa"/>
          </w:tblCellMar>
        </w:tblPrEx>
        <w:tc>
          <w:tcPr>
            <w:tcW w:w="1247" w:type="dxa"/>
          </w:tcPr>
          <w:p w:rsidR="00A950F7" w:rsidRPr="00A950F7" w:rsidRDefault="00A950F7" w:rsidP="00A950F7">
            <w:pPr>
              <w:rPr>
                <w:rFonts w:cs="Frankruhel" w:hint="cs"/>
                <w:rtl/>
              </w:rPr>
            </w:pPr>
            <w:r>
              <w:rPr>
                <w:rtl/>
              </w:rPr>
              <w:t xml:space="preserve">סעיף 6 </w:t>
            </w:r>
          </w:p>
        </w:tc>
        <w:tc>
          <w:tcPr>
            <w:tcW w:w="5669" w:type="dxa"/>
          </w:tcPr>
          <w:p w:rsidR="00A950F7" w:rsidRPr="00A950F7" w:rsidRDefault="00A950F7" w:rsidP="00A950F7">
            <w:pPr>
              <w:rPr>
                <w:rFonts w:cs="Frankruhel" w:hint="cs"/>
                <w:rtl/>
              </w:rPr>
            </w:pPr>
            <w:r>
              <w:rPr>
                <w:rtl/>
              </w:rPr>
              <w:t>שם</w:t>
            </w:r>
          </w:p>
        </w:tc>
        <w:tc>
          <w:tcPr>
            <w:tcW w:w="567" w:type="dxa"/>
          </w:tcPr>
          <w:p w:rsidR="00A950F7" w:rsidRPr="00A950F7" w:rsidRDefault="00A950F7" w:rsidP="00A950F7">
            <w:pPr>
              <w:rPr>
                <w:rStyle w:val="Hyperlink"/>
                <w:rFonts w:hint="cs"/>
                <w:rtl/>
              </w:rPr>
            </w:pPr>
            <w:hyperlink w:anchor="Seif6" w:tooltip="שם" w:history="1">
              <w:r w:rsidRPr="00A950F7">
                <w:rPr>
                  <w:rStyle w:val="Hyperlink"/>
                </w:rPr>
                <w:t>Go</w:t>
              </w:r>
            </w:hyperlink>
          </w:p>
        </w:tc>
        <w:tc>
          <w:tcPr>
            <w:tcW w:w="850" w:type="dxa"/>
          </w:tcPr>
          <w:p w:rsidR="00A950F7" w:rsidRPr="00A950F7" w:rsidRDefault="00A950F7" w:rsidP="00A950F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sidR="004C086D">
        <w:rPr>
          <w:rFonts w:cs="FrankRuehl" w:hint="cs"/>
          <w:sz w:val="32"/>
          <w:rtl/>
        </w:rPr>
        <w:t>צו בדבר דחיית מועדים בענייני תכנון ובנייה (נגיף הקורונה החדש 2019) (יהודה ושומרון) (מס' 1840) (הוראת שעה), תש"ף-2020</w:t>
      </w:r>
      <w:r w:rsidR="002053AF">
        <w:rPr>
          <w:rStyle w:val="default"/>
          <w:sz w:val="22"/>
          <w:szCs w:val="22"/>
          <w:rtl/>
        </w:rPr>
        <w:footnoteReference w:customMarkFollows="1" w:id="1"/>
        <w:t>*</w:t>
      </w:r>
    </w:p>
    <w:p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 xml:space="preserve">כמפקד כוחות צה"ל באזור, ובהיותי סבור כי </w:t>
      </w:r>
      <w:r w:rsidR="004C086D">
        <w:rPr>
          <w:rStyle w:val="default"/>
          <w:rFonts w:cs="FrankRuehl" w:hint="cs"/>
          <w:rtl/>
        </w:rPr>
        <w:t xml:space="preserve">בשל הנסיבות המיוחדות הקיימות כיום באזור, נחוץ </w:t>
      </w:r>
      <w:r w:rsidR="00DE4941">
        <w:rPr>
          <w:rStyle w:val="default"/>
          <w:rFonts w:cs="FrankRuehl" w:hint="cs"/>
          <w:rtl/>
        </w:rPr>
        <w:t xml:space="preserve">הדבר לטובת האזור </w:t>
      </w:r>
      <w:r w:rsidR="004C086D">
        <w:rPr>
          <w:rStyle w:val="default"/>
          <w:rFonts w:cs="FrankRuehl" w:hint="cs"/>
          <w:rtl/>
        </w:rPr>
        <w:t>ולשם קיום הסדר</w:t>
      </w:r>
      <w:r w:rsidR="00DE4941">
        <w:rPr>
          <w:rStyle w:val="default"/>
          <w:rFonts w:cs="FrankRuehl" w:hint="cs"/>
          <w:rtl/>
        </w:rPr>
        <w:t xml:space="preserve"> הציבור</w:t>
      </w:r>
      <w:r w:rsidR="004C086D">
        <w:rPr>
          <w:rStyle w:val="default"/>
          <w:rFonts w:cs="FrankRuehl" w:hint="cs"/>
          <w:rtl/>
        </w:rPr>
        <w:t>י באזור ורווחת תושביו</w:t>
      </w:r>
      <w:r w:rsidR="00DE4941">
        <w:rPr>
          <w:rStyle w:val="default"/>
          <w:rFonts w:cs="FrankRuehl" w:hint="cs"/>
          <w:rtl/>
        </w:rPr>
        <w:t xml:space="preserve">, הנני מצווה </w:t>
      </w:r>
      <w:r w:rsidR="004C086D">
        <w:rPr>
          <w:rStyle w:val="default"/>
          <w:rFonts w:cs="FrankRuehl" w:hint="cs"/>
          <w:rtl/>
        </w:rPr>
        <w:t>באזור, כהוראת שעה לאמור</w:t>
      </w:r>
      <w:r>
        <w:rPr>
          <w:rStyle w:val="default"/>
          <w:rFonts w:cs="FrankRuehl" w:hint="cs"/>
          <w:rtl/>
        </w:rPr>
        <w:t>:</w:t>
      </w:r>
    </w:p>
    <w:p w:rsidR="002053AF" w:rsidRDefault="002053AF" w:rsidP="00023674">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13.35pt;z-index:251655168" o:allowincell="f" filled="f" stroked="f" strokecolor="lime" strokeweight=".25pt">
            <v:textbox style="mso-next-textbox:#_x0000_s1026" inset="0,0,0,0">
              <w:txbxContent>
                <w:p w:rsidR="00636CFA" w:rsidRDefault="004C086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C086D">
        <w:rPr>
          <w:rStyle w:val="default"/>
          <w:rFonts w:cs="FrankRuehl" w:hint="cs"/>
          <w:rtl/>
        </w:rPr>
        <w:t xml:space="preserve">בצו זה </w:t>
      </w:r>
      <w:r w:rsidR="004C086D">
        <w:rPr>
          <w:rStyle w:val="default"/>
          <w:rFonts w:cs="FrankRuehl"/>
          <w:rtl/>
        </w:rPr>
        <w:t>–</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w:t>
      </w:r>
      <w:r>
        <w:rPr>
          <w:rStyle w:val="default"/>
          <w:rFonts w:cs="FrankRuehl"/>
          <w:rtl/>
        </w:rPr>
        <w:t>–</w:t>
      </w:r>
      <w:r>
        <w:rPr>
          <w:rStyle w:val="default"/>
          <w:rFonts w:cs="FrankRuehl" w:hint="cs"/>
          <w:rtl/>
        </w:rPr>
        <w:t xml:space="preserve"> חוק תכנון ערים, כפרים ובניינים מס' 79 לשנת 1966;</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תכנון" </w:t>
      </w:r>
      <w:r>
        <w:rPr>
          <w:rStyle w:val="default"/>
          <w:rFonts w:cs="FrankRuehl"/>
          <w:rtl/>
        </w:rPr>
        <w:t>–</w:t>
      </w:r>
      <w:r>
        <w:rPr>
          <w:rStyle w:val="default"/>
          <w:rFonts w:cs="FrankRuehl" w:hint="cs"/>
          <w:rtl/>
        </w:rPr>
        <w:t xml:space="preserve"> מועצת התכנון העליונה וועדות המשנה של מועצת התכנון העליונה, כמשמעותן במינוי ואצילת זמכויות של מועצת התכנון העליונה (יהודה והשומרון), התשס"ט-2009;</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ועדות העררים" </w:t>
      </w:r>
      <w:r>
        <w:rPr>
          <w:rStyle w:val="default"/>
          <w:rFonts w:cs="FrankRuehl"/>
          <w:rtl/>
        </w:rPr>
        <w:t>–</w:t>
      </w:r>
      <w:r>
        <w:rPr>
          <w:rStyle w:val="default"/>
          <w:rFonts w:cs="FrankRuehl" w:hint="cs"/>
          <w:rtl/>
        </w:rPr>
        <w:t xml:space="preserve"> צו בדבר ועדות עררים (אזור הגדה המערבית) (מס' 172), התשכ"ח-1967;</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חוק התכנון" </w:t>
      </w:r>
      <w:r>
        <w:rPr>
          <w:rStyle w:val="default"/>
          <w:rFonts w:cs="FrankRuehl"/>
          <w:rtl/>
        </w:rPr>
        <w:t>–</w:t>
      </w:r>
      <w:r>
        <w:rPr>
          <w:rStyle w:val="default"/>
          <w:rFonts w:cs="FrankRuehl" w:hint="cs"/>
          <w:rtl/>
        </w:rPr>
        <w:t xml:space="preserve"> צו בדבר חוק תכנון ערים, כפרים ובנינים (יהודה והשומרון) (מס' 418), תשל"א-1971;</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רכוש ממשלתי" </w:t>
      </w:r>
      <w:r>
        <w:rPr>
          <w:rStyle w:val="default"/>
          <w:rFonts w:cs="FrankRuehl"/>
          <w:rtl/>
        </w:rPr>
        <w:t>–</w:t>
      </w:r>
      <w:r>
        <w:rPr>
          <w:rStyle w:val="default"/>
          <w:rFonts w:cs="FrankRuehl" w:hint="cs"/>
          <w:rtl/>
        </w:rPr>
        <w:t xml:space="preserve"> צו בדבר רכוש ממשלתי (יהודה והשומרון) (מס' 59), התשכ"ז-1967;</w:t>
      </w:r>
    </w:p>
    <w:p w:rsidR="004C086D" w:rsidRDefault="004C086D"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 </w:t>
      </w:r>
      <w:r>
        <w:rPr>
          <w:rStyle w:val="default"/>
          <w:rFonts w:cs="FrankRuehl"/>
          <w:rtl/>
        </w:rPr>
        <w:t>–</w:t>
      </w:r>
      <w:r>
        <w:rPr>
          <w:rStyle w:val="default"/>
          <w:rFonts w:cs="FrankRuehl" w:hint="cs"/>
          <w:rtl/>
        </w:rPr>
        <w:t xml:space="preserve"> התקופה שמיום י"ט באדר התש"ף (15 במרס 2020) ועד תום תקופת תוקפו של צו זה;</w:t>
      </w:r>
    </w:p>
    <w:p w:rsidR="004C086D" w:rsidRDefault="004C086D" w:rsidP="00023674">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היתר ותנאיו" </w:t>
      </w:r>
      <w:r>
        <w:rPr>
          <w:rStyle w:val="default"/>
          <w:rFonts w:cs="FrankRuehl"/>
          <w:rtl/>
        </w:rPr>
        <w:t>–</w:t>
      </w:r>
      <w:r>
        <w:rPr>
          <w:rStyle w:val="default"/>
          <w:rFonts w:cs="FrankRuehl" w:hint="cs"/>
          <w:rtl/>
        </w:rPr>
        <w:t xml:space="preserve"> תקנות תכנון ערים, כפרים ובנינים (בקשה להיתר ותנאיו) (יהודה והשומרון), התש"ף-2020.</w:t>
      </w:r>
    </w:p>
    <w:p w:rsidR="002053AF" w:rsidRDefault="002053AF" w:rsidP="00317907">
      <w:pPr>
        <w:pStyle w:val="P00"/>
        <w:spacing w:before="72"/>
        <w:ind w:left="0" w:right="1134"/>
        <w:rPr>
          <w:rStyle w:val="big-number"/>
          <w:rFonts w:cs="FrankRuehl"/>
          <w:sz w:val="26"/>
          <w:szCs w:val="26"/>
          <w:rtl/>
        </w:rPr>
      </w:pPr>
      <w:bookmarkStart w:id="1" w:name="Seif3"/>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20.05pt;z-index:251657216" filled="f" stroked="f">
            <v:textbox inset="1mm,0,1mm,0">
              <w:txbxContent>
                <w:p w:rsidR="00887B67" w:rsidRDefault="004C086D" w:rsidP="00887B67">
                  <w:pPr>
                    <w:spacing w:line="160" w:lineRule="exact"/>
                    <w:rPr>
                      <w:rFonts w:cs="Miriam" w:hint="cs"/>
                      <w:noProof/>
                      <w:sz w:val="18"/>
                      <w:szCs w:val="18"/>
                      <w:rtl/>
                    </w:rPr>
                  </w:pPr>
                  <w:r>
                    <w:rPr>
                      <w:rFonts w:cs="Miriam" w:hint="cs"/>
                      <w:sz w:val="18"/>
                      <w:szCs w:val="18"/>
                      <w:rtl/>
                    </w:rPr>
                    <w:t>דחיית מועדים ותקופות</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4C086D">
        <w:rPr>
          <w:rStyle w:val="big-number"/>
          <w:rFonts w:cs="FrankRuehl" w:hint="cs"/>
          <w:sz w:val="26"/>
          <w:szCs w:val="26"/>
          <w:rtl/>
        </w:rPr>
        <w:t>בחישוב תקופות שנקבעו בהוראות החיקוקים כמפורט להלן, לא תבוא במניין התקופה הקובעת:</w:t>
      </w:r>
    </w:p>
    <w:p w:rsidR="004C086D" w:rsidRDefault="004C086D" w:rsidP="00532FB6">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 xml:space="preserve">חוק התכנון, למעט ההוראות בסעיפים </w:t>
      </w:r>
      <w:r w:rsidR="00532FB6">
        <w:rPr>
          <w:rStyle w:val="big-number"/>
          <w:rFonts w:cs="FrankRuehl" w:hint="cs"/>
          <w:sz w:val="26"/>
          <w:szCs w:val="26"/>
          <w:rtl/>
        </w:rPr>
        <w:t>18(2), 18(4), 21(4) ו-24(6), בכל הנוגע לפרסומן ולכניסתן לתוקף של תכניות שאושרו על ידי מוסד התכנון וניתן להן תוקף לפני תחילת התקופה הקובעת;</w:t>
      </w:r>
    </w:p>
    <w:p w:rsidR="00532FB6" w:rsidRDefault="00532FB6" w:rsidP="00532FB6">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מבלי לגרוע מהאמור בסעיף קטן (א)(1) לסעיף זה, התראה להפסקת עבודה שנמסרה בהתאם להוראות סעיף 38 לחוק התכנון החל מיום 15 בפברואר 2020 תעמוד בתוקפה עד תום 30 ימים מתום תקופת תוקפו של צו זה.</w:t>
      </w:r>
    </w:p>
    <w:p w:rsidR="00532FB6" w:rsidRDefault="00532FB6" w:rsidP="00317907">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סעיף קטן (א) יחול גם על תקופה שנקבעה בהחלטה של מוסד תכנון שניתנה לפי הדין או תחיקת הביטחון או בתכנית; נקבע בהחלטה של מוסד תכנון שניתנה לפי הדין או תחיקת הביטחון או בתכנית מועד נקוב שחל במהלך התקופה הקובעת, יידחה המועד האמור עד תום התקופה הקובעת.</w:t>
      </w:r>
    </w:p>
    <w:p w:rsidR="001F398C" w:rsidRDefault="001956C4" w:rsidP="00317907">
      <w:pPr>
        <w:pStyle w:val="P00"/>
        <w:spacing w:before="72"/>
        <w:ind w:left="0" w:right="1134"/>
        <w:rPr>
          <w:rStyle w:val="default"/>
          <w:rFonts w:cs="FrankRuehl"/>
          <w:rtl/>
        </w:rPr>
      </w:pPr>
      <w:bookmarkStart w:id="2" w:name="Seif4"/>
      <w:bookmarkEnd w:id="2"/>
      <w:r>
        <w:rPr>
          <w:rFonts w:cs="Miriam" w:hint="cs"/>
          <w:sz w:val="32"/>
          <w:szCs w:val="32"/>
          <w:rtl/>
          <w:lang w:eastAsia="en-US"/>
        </w:rPr>
        <w:pict>
          <v:shape id="_x0000_s1361" type="#_x0000_t202" style="position:absolute;left:0;text-align:left;margin-left:470.35pt;margin-top:7.1pt;width:1in;height:22.2pt;z-index:251658240" filled="f" stroked="f">
            <v:textbox inset="1mm,0,1mm,0">
              <w:txbxContent>
                <w:p w:rsidR="006B5F71" w:rsidRDefault="00532FB6" w:rsidP="001D326B">
                  <w:pPr>
                    <w:spacing w:line="160" w:lineRule="exact"/>
                    <w:rPr>
                      <w:rFonts w:cs="Miriam" w:hint="cs"/>
                      <w:sz w:val="18"/>
                      <w:szCs w:val="18"/>
                      <w:rtl/>
                    </w:rPr>
                  </w:pPr>
                  <w:r>
                    <w:rPr>
                      <w:rFonts w:cs="Miriam" w:hint="cs"/>
                      <w:sz w:val="18"/>
                      <w:szCs w:val="18"/>
                      <w:rtl/>
                    </w:rPr>
                    <w:t>תיקון תקנות היתר ותנאיו</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532FB6">
        <w:rPr>
          <w:rStyle w:val="default"/>
          <w:rFonts w:cs="FrankRuehl" w:hint="cs"/>
          <w:rtl/>
        </w:rPr>
        <w:t>(א)</w:t>
      </w:r>
      <w:r w:rsidR="00532FB6">
        <w:rPr>
          <w:rStyle w:val="default"/>
          <w:rFonts w:cs="FrankRuehl"/>
          <w:rtl/>
        </w:rPr>
        <w:tab/>
      </w:r>
      <w:r w:rsidR="00532FB6">
        <w:rPr>
          <w:rStyle w:val="default"/>
          <w:rFonts w:cs="FrankRuehl" w:hint="cs"/>
          <w:rtl/>
        </w:rPr>
        <w:t>בתקופת תוקפו של צו זה, יראו כאילו בתקנה 40 לתקנות היתר ותנאיו, אחרי תקנת משנה (ט) בא:</w:t>
      </w:r>
    </w:p>
    <w:p w:rsidR="00532FB6" w:rsidRDefault="00532FB6" w:rsidP="005D0FD2">
      <w:pPr>
        <w:pStyle w:val="P00"/>
        <w:spacing w:before="72"/>
        <w:ind w:left="1021" w:right="1134"/>
        <w:rPr>
          <w:rStyle w:val="default"/>
          <w:rFonts w:cs="FrankRuehl"/>
          <w:sz w:val="20"/>
          <w:rtl/>
        </w:rPr>
      </w:pPr>
      <w:r w:rsidRPr="005D0FD2">
        <w:rPr>
          <w:rStyle w:val="default"/>
          <w:rFonts w:cs="FrankRuehl" w:hint="cs"/>
          <w:sz w:val="20"/>
          <w:rtl/>
        </w:rPr>
        <w:t>"(י)</w:t>
      </w:r>
      <w:r w:rsidRPr="005D0FD2">
        <w:rPr>
          <w:rStyle w:val="default"/>
          <w:rFonts w:cs="FrankRuehl"/>
          <w:sz w:val="20"/>
          <w:rtl/>
        </w:rPr>
        <w:tab/>
      </w:r>
      <w:r w:rsidR="005D0FD2" w:rsidRPr="005D0FD2">
        <w:rPr>
          <w:rStyle w:val="default"/>
          <w:rFonts w:cs="FrankRuehl" w:hint="cs"/>
          <w:sz w:val="20"/>
          <w:rtl/>
        </w:rPr>
        <w:t>על אף האמור בתקנות משנה (א) ו-(ו), מצאה רשות הרישוי כי נוכח התפשטות נגיף הקורונה החדש (</w:t>
      </w:r>
      <w:r w:rsidR="005D0FD2" w:rsidRPr="005D0FD2">
        <w:rPr>
          <w:rStyle w:val="default"/>
          <w:rFonts w:cs="FrankRuehl"/>
          <w:sz w:val="20"/>
        </w:rPr>
        <w:t>nCoV</w:t>
      </w:r>
      <w:r w:rsidR="005D0FD2" w:rsidRPr="005D0FD2">
        <w:rPr>
          <w:rStyle w:val="default"/>
          <w:rFonts w:cs="FrankRuehl" w:hint="cs"/>
          <w:sz w:val="20"/>
          <w:rtl/>
        </w:rPr>
        <w:t>)</w:t>
      </w:r>
      <w:r w:rsidR="005D0FD2">
        <w:rPr>
          <w:rStyle w:val="default"/>
          <w:rFonts w:cs="FrankRuehl" w:hint="cs"/>
          <w:sz w:val="20"/>
          <w:rtl/>
        </w:rPr>
        <w:t xml:space="preserve"> והצעדים שננקטו להתמודדות עם מצב זה, לא ניתן לקיים תנאי מן התנאים שנקבעו בהיתר להוצאת תעודת גמר או שייגרם עיכוב משמעותי במועד קיום התנאי האמור, והתנאי אינו תנאי הנדרש לפי הדין או תחיקת הביטחון, רשאית רשות הרישוי לתת תעודת גמר גם אם לא התקיים אותו תנאי, ובלבד </w:t>
      </w:r>
      <w:r w:rsidR="005D0FD2">
        <w:rPr>
          <w:rStyle w:val="default"/>
          <w:rFonts w:cs="FrankRuehl" w:hint="cs"/>
          <w:sz w:val="20"/>
          <w:rtl/>
        </w:rPr>
        <w:lastRenderedPageBreak/>
        <w:t>שנמצאה כי אי-קיום התנאי אינו פוגע ביציבות ובבטיחות הבניין, בבטיחות הציבור ובבטיחות המשתמש וכי המבנה ראוי לשימוש".</w:t>
      </w:r>
    </w:p>
    <w:p w:rsidR="005D0FD2" w:rsidRPr="005D0FD2" w:rsidRDefault="005D0FD2" w:rsidP="0031790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תחילתו של סעיף קטן (א) עם תחילתן של תקנות היתר ותנאיו.</w:t>
      </w:r>
    </w:p>
    <w:p w:rsidR="002E532F" w:rsidRDefault="002053AF" w:rsidP="00926CEE">
      <w:pPr>
        <w:pStyle w:val="P00"/>
        <w:spacing w:before="72"/>
        <w:ind w:left="0" w:right="1134"/>
        <w:rPr>
          <w:rStyle w:val="default"/>
          <w:rFonts w:cs="FrankRuehl"/>
          <w:rtl/>
        </w:rPr>
      </w:pPr>
      <w:bookmarkStart w:id="3" w:name="Seif2"/>
      <w:bookmarkEnd w:id="3"/>
      <w:r>
        <w:rPr>
          <w:rFonts w:cs="Miriam"/>
          <w:szCs w:val="32"/>
          <w:rtl/>
          <w:lang w:val="he-IL"/>
        </w:rPr>
        <w:pict>
          <v:shape id="_x0000_s1316" type="#_x0000_t202" style="position:absolute;left:0;text-align:left;margin-left:463.5pt;margin-top:7.1pt;width:78.85pt;height:22.25pt;z-index:251656192" filled="f" stroked="f">
            <v:textbox style="mso-next-textbox:#_x0000_s1316" inset="1mm,0,1mm,0">
              <w:txbxContent>
                <w:p w:rsidR="00636CFA" w:rsidRDefault="005D0FD2" w:rsidP="00B115BA">
                  <w:pPr>
                    <w:spacing w:line="160" w:lineRule="exact"/>
                    <w:rPr>
                      <w:rFonts w:cs="Miriam" w:hint="cs"/>
                      <w:sz w:val="18"/>
                      <w:szCs w:val="18"/>
                      <w:rtl/>
                    </w:rPr>
                  </w:pPr>
                  <w:r>
                    <w:rPr>
                      <w:rFonts w:cs="Miriam" w:hint="cs"/>
                      <w:sz w:val="18"/>
                      <w:szCs w:val="18"/>
                      <w:rtl/>
                    </w:rPr>
                    <w:t>תיקון צו בדבר פרסום תכניות</w:t>
                  </w:r>
                </w:p>
              </w:txbxContent>
            </v:textbox>
          </v:shape>
        </w:pict>
      </w:r>
      <w:r>
        <w:rPr>
          <w:rStyle w:val="big-number"/>
          <w:rFonts w:cs="Miriam" w:hint="cs"/>
          <w:rtl/>
        </w:rPr>
        <w:t>4</w:t>
      </w:r>
      <w:r>
        <w:rPr>
          <w:rStyle w:val="default"/>
          <w:rFonts w:cs="FrankRuehl"/>
          <w:rtl/>
        </w:rPr>
        <w:t>.</w:t>
      </w:r>
      <w:r>
        <w:rPr>
          <w:rStyle w:val="default"/>
          <w:rFonts w:cs="FrankRuehl"/>
          <w:rtl/>
        </w:rPr>
        <w:tab/>
      </w:r>
      <w:r w:rsidR="005D0FD2">
        <w:rPr>
          <w:rStyle w:val="default"/>
          <w:rFonts w:cs="FrankRuehl" w:hint="cs"/>
          <w:rtl/>
        </w:rPr>
        <w:t>בתקופת תוקפו של צו זה, יראו כאילו בסעיף 7ב(יז) לצו בדבר חוק התכנון, בסעיף 2א(א)(4) לחוק התכנון שמתווסף בו, בסופו בא: "ככל הניתן"</w:t>
      </w:r>
      <w:r w:rsidR="00F92576">
        <w:rPr>
          <w:rStyle w:val="default"/>
          <w:rFonts w:cs="FrankRuehl" w:hint="cs"/>
          <w:rtl/>
        </w:rPr>
        <w:t>.</w:t>
      </w:r>
    </w:p>
    <w:p w:rsidR="00317907" w:rsidRDefault="00317907" w:rsidP="00317907">
      <w:pPr>
        <w:pStyle w:val="P00"/>
        <w:spacing w:before="72"/>
        <w:ind w:left="0" w:right="1134"/>
        <w:rPr>
          <w:rStyle w:val="default"/>
          <w:rFonts w:cs="FrankRuehl"/>
          <w:rtl/>
        </w:rPr>
      </w:pPr>
      <w:bookmarkStart w:id="4" w:name="Seif5"/>
      <w:bookmarkEnd w:id="4"/>
      <w:r>
        <w:rPr>
          <w:rFonts w:cs="Miriam"/>
          <w:szCs w:val="32"/>
          <w:rtl/>
          <w:lang w:val="he-IL"/>
        </w:rPr>
        <w:pict>
          <v:shape id="_x0000_s1460" type="#_x0000_t202" style="position:absolute;left:0;text-align:left;margin-left:463.5pt;margin-top:7.1pt;width:78.85pt;height:15pt;z-index:251659264" filled="f" stroked="f">
            <v:textbox style="mso-next-textbox:#_x0000_s1460" inset="1mm,0,1mm,0">
              <w:txbxContent>
                <w:p w:rsidR="00317907" w:rsidRDefault="009C38E4" w:rsidP="00317907">
                  <w:pPr>
                    <w:spacing w:line="160" w:lineRule="exact"/>
                    <w:rPr>
                      <w:rFonts w:cs="Miriam" w:hint="cs"/>
                      <w:sz w:val="18"/>
                      <w:szCs w:val="18"/>
                      <w:rtl/>
                    </w:rPr>
                  </w:pPr>
                  <w:r>
                    <w:rPr>
                      <w:rFonts w:cs="Miriam" w:hint="cs"/>
                      <w:sz w:val="18"/>
                      <w:szCs w:val="18"/>
                      <w:rtl/>
                    </w:rPr>
                    <w:t>תוקף</w:t>
                  </w:r>
                </w:p>
              </w:txbxContent>
            </v:textbox>
          </v:shape>
        </w:pict>
      </w:r>
      <w:r>
        <w:rPr>
          <w:rStyle w:val="big-number"/>
          <w:rFonts w:cs="Miriam" w:hint="cs"/>
          <w:rtl/>
        </w:rPr>
        <w:t>5</w:t>
      </w:r>
      <w:r>
        <w:rPr>
          <w:rStyle w:val="default"/>
          <w:rFonts w:cs="FrankRuehl"/>
          <w:rtl/>
        </w:rPr>
        <w:t>.</w:t>
      </w:r>
      <w:r>
        <w:rPr>
          <w:rStyle w:val="default"/>
          <w:rFonts w:cs="FrankRuehl"/>
          <w:rtl/>
        </w:rPr>
        <w:tab/>
      </w:r>
      <w:r w:rsidR="009C38E4">
        <w:rPr>
          <w:rStyle w:val="default"/>
          <w:rFonts w:cs="FrankRuehl" w:hint="cs"/>
          <w:rtl/>
        </w:rPr>
        <w:t>תוקפו של צו זה ביום חתימתו והוא יהיה בתוקף למשך 60 ימים מיום חתימתו</w:t>
      </w:r>
      <w:r w:rsidR="008B4D34">
        <w:rPr>
          <w:rStyle w:val="default"/>
          <w:rFonts w:cs="FrankRuehl" w:hint="cs"/>
          <w:rtl/>
        </w:rPr>
        <w:t>.</w:t>
      </w:r>
    </w:p>
    <w:p w:rsidR="00446D35" w:rsidRDefault="00446D35" w:rsidP="00446D35">
      <w:pPr>
        <w:pStyle w:val="P00"/>
        <w:spacing w:before="72"/>
        <w:ind w:left="0" w:right="1134"/>
        <w:rPr>
          <w:rStyle w:val="default"/>
          <w:rFonts w:cs="FrankRuehl"/>
          <w:rtl/>
        </w:rPr>
      </w:pPr>
      <w:bookmarkStart w:id="5" w:name="Seif6"/>
      <w:bookmarkEnd w:id="5"/>
      <w:r>
        <w:rPr>
          <w:rFonts w:cs="Miriam"/>
          <w:szCs w:val="32"/>
          <w:rtl/>
          <w:lang w:val="he-IL"/>
        </w:rPr>
        <w:pict>
          <v:shape id="_x0000_s1492" type="#_x0000_t202" style="position:absolute;left:0;text-align:left;margin-left:463.5pt;margin-top:7.1pt;width:78.85pt;height:13.85pt;z-index:251660288" filled="f" stroked="f">
            <v:textbox style="mso-next-textbox:#_x0000_s1492" inset="1mm,0,1mm,0">
              <w:txbxContent>
                <w:p w:rsidR="00446D35" w:rsidRDefault="002F69D7" w:rsidP="00446D35">
                  <w:pPr>
                    <w:spacing w:line="160" w:lineRule="exact"/>
                    <w:rPr>
                      <w:rFonts w:cs="Miriam" w:hint="cs"/>
                      <w:sz w:val="18"/>
                      <w:szCs w:val="18"/>
                      <w:rtl/>
                    </w:rPr>
                  </w:pPr>
                  <w:r>
                    <w:rPr>
                      <w:rFonts w:cs="Miriam" w:hint="cs"/>
                      <w:sz w:val="18"/>
                      <w:szCs w:val="18"/>
                      <w:rtl/>
                    </w:rPr>
                    <w:t>שם</w:t>
                  </w:r>
                </w:p>
              </w:txbxContent>
            </v:textbox>
          </v:shape>
        </w:pict>
      </w:r>
      <w:r w:rsidR="008B4D34">
        <w:rPr>
          <w:rStyle w:val="big-number"/>
          <w:rFonts w:cs="Miriam" w:hint="cs"/>
          <w:rtl/>
        </w:rPr>
        <w:t>6</w:t>
      </w:r>
      <w:r>
        <w:rPr>
          <w:rStyle w:val="default"/>
          <w:rFonts w:cs="FrankRuehl"/>
          <w:rtl/>
        </w:rPr>
        <w:t>.</w:t>
      </w:r>
      <w:r>
        <w:rPr>
          <w:rStyle w:val="default"/>
          <w:rFonts w:cs="FrankRuehl"/>
          <w:rtl/>
        </w:rPr>
        <w:tab/>
      </w:r>
      <w:r w:rsidR="002F69D7">
        <w:rPr>
          <w:rStyle w:val="default"/>
          <w:rFonts w:cs="FrankRuehl" w:hint="cs"/>
          <w:rtl/>
        </w:rPr>
        <w:t>צו זה ייקרא: "צו בדבר דחיית מועדים בענייני תכנון ובנייה (נגיף הקורונה החדש 2019) (יהודה ושומרון) (מס' 1840) (הוראת שעה), התש"ף-2020</w:t>
      </w:r>
      <w:r w:rsidR="008B4D34">
        <w:rPr>
          <w:rStyle w:val="default"/>
          <w:rFonts w:cs="FrankRuehl" w:hint="cs"/>
          <w:rtl/>
        </w:rPr>
        <w:t>.</w:t>
      </w:r>
    </w:p>
    <w:p w:rsidR="004C086D" w:rsidRDefault="004C086D" w:rsidP="00446D35">
      <w:pPr>
        <w:pStyle w:val="P00"/>
        <w:spacing w:before="72"/>
        <w:ind w:left="0" w:right="1134"/>
        <w:rPr>
          <w:rStyle w:val="default"/>
          <w:rFonts w:cs="FrankRuehl"/>
          <w:rtl/>
        </w:rPr>
      </w:pPr>
    </w:p>
    <w:p w:rsidR="00AE53C7" w:rsidRDefault="00AE53C7" w:rsidP="00446D35">
      <w:pPr>
        <w:pStyle w:val="P00"/>
        <w:spacing w:before="72"/>
        <w:ind w:left="0" w:right="1134"/>
        <w:rPr>
          <w:rStyle w:val="default"/>
          <w:rFonts w:cs="FrankRuehl"/>
          <w:rtl/>
        </w:rPr>
      </w:pPr>
    </w:p>
    <w:p w:rsidR="00911999" w:rsidRDefault="00AE53C7" w:rsidP="00926CEE">
      <w:pPr>
        <w:pStyle w:val="sig-0"/>
        <w:tabs>
          <w:tab w:val="clear" w:pos="4820"/>
          <w:tab w:val="center" w:pos="5670"/>
        </w:tabs>
        <w:spacing w:before="72"/>
        <w:ind w:left="0" w:right="1134"/>
        <w:rPr>
          <w:rFonts w:cs="FrankRuehl" w:hint="cs"/>
          <w:sz w:val="26"/>
          <w:rtl/>
        </w:rPr>
      </w:pPr>
      <w:r>
        <w:rPr>
          <w:rFonts w:cs="FrankRuehl" w:hint="cs"/>
          <w:sz w:val="26"/>
          <w:rtl/>
        </w:rPr>
        <w:t>ט</w:t>
      </w:r>
      <w:r w:rsidR="000149DC">
        <w:rPr>
          <w:rFonts w:cs="FrankRuehl" w:hint="cs"/>
          <w:sz w:val="26"/>
          <w:rtl/>
        </w:rPr>
        <w:t xml:space="preserve">' בניסן </w:t>
      </w:r>
      <w:r w:rsidR="0008421C">
        <w:rPr>
          <w:rFonts w:cs="FrankRuehl" w:hint="cs"/>
          <w:sz w:val="26"/>
          <w:rtl/>
        </w:rPr>
        <w:t>התש"ף (</w:t>
      </w:r>
      <w:r>
        <w:rPr>
          <w:rFonts w:cs="FrankRuehl" w:hint="cs"/>
          <w:sz w:val="26"/>
          <w:rtl/>
        </w:rPr>
        <w:t>3 באפריל</w:t>
      </w:r>
      <w:r w:rsidR="0008421C">
        <w:rPr>
          <w:rFonts w:cs="FrankRuehl" w:hint="cs"/>
          <w:sz w:val="26"/>
          <w:rtl/>
        </w:rPr>
        <w:t xml:space="preserve"> 2020</w:t>
      </w:r>
      <w:r w:rsidR="00911999">
        <w:rPr>
          <w:rFonts w:cs="FrankRuehl" w:hint="cs"/>
          <w:sz w:val="26"/>
          <w:rtl/>
        </w:rPr>
        <w:t>)</w:t>
      </w:r>
      <w:r w:rsidR="00911999">
        <w:rPr>
          <w:rFonts w:cs="FrankRuehl" w:hint="cs"/>
          <w:sz w:val="26"/>
          <w:rtl/>
        </w:rPr>
        <w:tab/>
      </w:r>
      <w:r w:rsidR="000149DC">
        <w:rPr>
          <w:rFonts w:cs="FrankRuehl" w:hint="cs"/>
          <w:sz w:val="26"/>
          <w:rtl/>
        </w:rPr>
        <w:t>אלוף נדב פדן</w:t>
      </w:r>
    </w:p>
    <w:p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rsidR="00DE4941" w:rsidRPr="000149DC" w:rsidRDefault="00DE4941" w:rsidP="000149DC">
      <w:pPr>
        <w:pStyle w:val="P00"/>
        <w:spacing w:before="72"/>
        <w:ind w:left="0" w:right="1134"/>
        <w:rPr>
          <w:rStyle w:val="default"/>
          <w:rFonts w:cs="FrankRuehl"/>
          <w:rtl/>
        </w:rPr>
      </w:pPr>
    </w:p>
    <w:p w:rsidR="00C624D2" w:rsidRDefault="00C624D2" w:rsidP="000149DC">
      <w:pPr>
        <w:pStyle w:val="P00"/>
        <w:spacing w:before="72"/>
        <w:ind w:left="0" w:right="1134"/>
        <w:rPr>
          <w:rStyle w:val="default"/>
          <w:rFonts w:cs="FrankRuehl"/>
          <w:rtl/>
        </w:rPr>
      </w:pPr>
    </w:p>
    <w:p w:rsidR="00880E29" w:rsidRDefault="00880E29" w:rsidP="000149DC">
      <w:pPr>
        <w:pStyle w:val="P00"/>
        <w:spacing w:before="72"/>
        <w:ind w:left="0" w:right="1134"/>
        <w:rPr>
          <w:rStyle w:val="default"/>
          <w:rFonts w:cs="FrankRuehl"/>
          <w:rtl/>
        </w:rPr>
      </w:pPr>
    </w:p>
    <w:p w:rsidR="00880E29" w:rsidRDefault="00880E29" w:rsidP="000149DC">
      <w:pPr>
        <w:pStyle w:val="P00"/>
        <w:spacing w:before="72"/>
        <w:ind w:left="0" w:right="1134"/>
        <w:rPr>
          <w:rStyle w:val="default"/>
          <w:rFonts w:cs="FrankRuehl"/>
          <w:rtl/>
        </w:rPr>
      </w:pPr>
    </w:p>
    <w:p w:rsidR="00880E29" w:rsidRDefault="00880E29" w:rsidP="00880E29">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950F7" w:rsidRDefault="00A950F7" w:rsidP="00880E29">
      <w:pPr>
        <w:pStyle w:val="P00"/>
        <w:spacing w:before="72"/>
        <w:ind w:left="0" w:right="1134"/>
        <w:jc w:val="center"/>
        <w:rPr>
          <w:rStyle w:val="default"/>
          <w:rFonts w:cs="David"/>
          <w:color w:val="0000FF"/>
          <w:szCs w:val="24"/>
          <w:u w:val="single"/>
          <w:rtl/>
        </w:rPr>
      </w:pPr>
    </w:p>
    <w:p w:rsidR="00A950F7" w:rsidRDefault="00A950F7" w:rsidP="00880E29">
      <w:pPr>
        <w:pStyle w:val="P00"/>
        <w:spacing w:before="72"/>
        <w:ind w:left="0" w:right="1134"/>
        <w:jc w:val="center"/>
        <w:rPr>
          <w:rStyle w:val="default"/>
          <w:rFonts w:cs="David"/>
          <w:color w:val="0000FF"/>
          <w:szCs w:val="24"/>
          <w:u w:val="single"/>
          <w:rtl/>
        </w:rPr>
      </w:pPr>
    </w:p>
    <w:p w:rsidR="00A950F7" w:rsidRDefault="00A950F7" w:rsidP="00A950F7">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C624D2" w:rsidRPr="00A950F7" w:rsidRDefault="00C624D2" w:rsidP="00A950F7">
      <w:pPr>
        <w:pStyle w:val="P00"/>
        <w:spacing w:before="72"/>
        <w:ind w:left="0" w:right="1134"/>
        <w:jc w:val="center"/>
        <w:rPr>
          <w:rStyle w:val="default"/>
          <w:rFonts w:cs="David"/>
          <w:color w:val="0000FF"/>
          <w:szCs w:val="24"/>
          <w:u w:val="single"/>
          <w:rtl/>
        </w:rPr>
      </w:pPr>
    </w:p>
    <w:sectPr w:rsidR="00C624D2" w:rsidRPr="00A950F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D91" w:rsidRDefault="00AA0D91">
      <w:r>
        <w:separator/>
      </w:r>
    </w:p>
  </w:endnote>
  <w:endnote w:type="continuationSeparator" w:id="0">
    <w:p w:rsidR="00AA0D91" w:rsidRDefault="00AA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50F7">
      <w:rPr>
        <w:rFonts w:hAnsi="FrankRuehl" w:cs="FrankRuehl"/>
        <w:noProof/>
        <w:sz w:val="24"/>
        <w:szCs w:val="24"/>
        <w:rtl/>
      </w:rPr>
      <w:t>3</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D91" w:rsidRDefault="00AA0D91">
      <w:pPr>
        <w:pStyle w:val="a5"/>
        <w:spacing w:before="60"/>
        <w:ind w:right="1134"/>
        <w:rPr>
          <w:rFonts w:cs="David"/>
          <w:sz w:val="24"/>
          <w:szCs w:val="24"/>
        </w:rPr>
      </w:pPr>
      <w:r>
        <w:separator/>
      </w:r>
    </w:p>
  </w:footnote>
  <w:footnote w:type="continuationSeparator" w:id="0">
    <w:p w:rsidR="00AA0D91" w:rsidRDefault="00AA0D91">
      <w:pPr>
        <w:spacing w:before="60"/>
        <w:ind w:right="1134"/>
      </w:pPr>
      <w:r>
        <w:separator/>
      </w:r>
    </w:p>
  </w:footnote>
  <w:footnote w:id="1">
    <w:p w:rsidR="00346766" w:rsidRPr="00366DD7" w:rsidRDefault="00636CFA" w:rsidP="00346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93E9E">
        <w:rPr>
          <w:rFonts w:cs="FrankRuehl" w:hint="cs"/>
          <w:rtl/>
        </w:rPr>
        <w:t>פורסם</w:t>
      </w:r>
      <w:r w:rsidR="00587C22">
        <w:rPr>
          <w:rFonts w:cs="FrankRuehl" w:hint="cs"/>
          <w:rtl/>
        </w:rPr>
        <w:t xml:space="preserve"> </w:t>
      </w:r>
      <w:hyperlink r:id="rId1" w:history="1">
        <w:r w:rsidR="00587C22" w:rsidRPr="00346766">
          <w:rPr>
            <w:rStyle w:val="Hyperlink"/>
            <w:rFonts w:cs="FrankRuehl" w:hint="cs"/>
            <w:rtl/>
          </w:rPr>
          <w:t>קובץ המנשרים מס' 252</w:t>
        </w:r>
      </w:hyperlink>
      <w:r w:rsidR="00587C22">
        <w:rPr>
          <w:rFonts w:cs="FrankRuehl" w:hint="cs"/>
          <w:rtl/>
        </w:rPr>
        <w:t xml:space="preserve"> מחודש אפריל 2020 עמ' 9471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4C086D">
      <w:rPr>
        <w:rFonts w:hAnsi="FrankRuehl" w:cs="FrankRuehl" w:hint="cs"/>
        <w:color w:val="000000"/>
        <w:sz w:val="28"/>
        <w:szCs w:val="28"/>
        <w:rtl/>
      </w:rPr>
      <w:t>דחיית מועדים בענייני תכנון ובנייה</w:t>
    </w:r>
    <w:r w:rsidR="00893E9E">
      <w:rPr>
        <w:rFonts w:hAnsi="FrankRuehl" w:cs="FrankRuehl" w:hint="cs"/>
        <w:color w:val="000000"/>
        <w:sz w:val="28"/>
        <w:szCs w:val="28"/>
        <w:rtl/>
      </w:rPr>
      <w:t xml:space="preserve"> (נגיף הקורונה החדש 2019) </w:t>
    </w:r>
    <w:r>
      <w:rPr>
        <w:rFonts w:hAnsi="FrankRuehl" w:cs="FrankRuehl" w:hint="cs"/>
        <w:color w:val="000000"/>
        <w:sz w:val="28"/>
        <w:szCs w:val="28"/>
        <w:rtl/>
      </w:rPr>
      <w:t>(יהודה ושומרון) (מס' 18</w:t>
    </w:r>
    <w:r w:rsidR="004C086D">
      <w:rPr>
        <w:rFonts w:hAnsi="FrankRuehl" w:cs="FrankRuehl" w:hint="cs"/>
        <w:color w:val="000000"/>
        <w:sz w:val="28"/>
        <w:szCs w:val="28"/>
        <w:rtl/>
      </w:rPr>
      <w:t>40</w:t>
    </w:r>
    <w:r>
      <w:rPr>
        <w:rFonts w:hAnsi="FrankRuehl" w:cs="FrankRuehl" w:hint="cs"/>
        <w:color w:val="000000"/>
        <w:sz w:val="28"/>
        <w:szCs w:val="28"/>
        <w:rtl/>
      </w:rPr>
      <w:t xml:space="preserve">) </w:t>
    </w:r>
    <w:r w:rsidR="00893E9E">
      <w:rPr>
        <w:rFonts w:hAnsi="FrankRuehl" w:cs="FrankRuehl" w:hint="cs"/>
        <w:color w:val="000000"/>
        <w:sz w:val="28"/>
        <w:szCs w:val="28"/>
        <w:rtl/>
      </w:rPr>
      <w:t>(הוראת שעה), תש"ף-2020</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291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9DC"/>
    <w:rsid w:val="00023674"/>
    <w:rsid w:val="00063410"/>
    <w:rsid w:val="00065347"/>
    <w:rsid w:val="00070A3B"/>
    <w:rsid w:val="000752E2"/>
    <w:rsid w:val="000829DB"/>
    <w:rsid w:val="0008421C"/>
    <w:rsid w:val="00084E0A"/>
    <w:rsid w:val="00085161"/>
    <w:rsid w:val="000B2E3C"/>
    <w:rsid w:val="000B3344"/>
    <w:rsid w:val="000B4A5D"/>
    <w:rsid w:val="000D4908"/>
    <w:rsid w:val="000D661F"/>
    <w:rsid w:val="00101AB3"/>
    <w:rsid w:val="001138A1"/>
    <w:rsid w:val="00120B4B"/>
    <w:rsid w:val="001416DA"/>
    <w:rsid w:val="001566AF"/>
    <w:rsid w:val="00164CE3"/>
    <w:rsid w:val="00171444"/>
    <w:rsid w:val="00172C7F"/>
    <w:rsid w:val="00185D19"/>
    <w:rsid w:val="001956C4"/>
    <w:rsid w:val="001966AA"/>
    <w:rsid w:val="001A17DA"/>
    <w:rsid w:val="001B47AC"/>
    <w:rsid w:val="001D326B"/>
    <w:rsid w:val="001E3CA0"/>
    <w:rsid w:val="001F398C"/>
    <w:rsid w:val="001F4F17"/>
    <w:rsid w:val="002053AF"/>
    <w:rsid w:val="00225D12"/>
    <w:rsid w:val="002311DB"/>
    <w:rsid w:val="00236005"/>
    <w:rsid w:val="00253756"/>
    <w:rsid w:val="00253D46"/>
    <w:rsid w:val="00264AFB"/>
    <w:rsid w:val="00274204"/>
    <w:rsid w:val="0027455F"/>
    <w:rsid w:val="00277AFA"/>
    <w:rsid w:val="00285062"/>
    <w:rsid w:val="002D1429"/>
    <w:rsid w:val="002E532F"/>
    <w:rsid w:val="002F004B"/>
    <w:rsid w:val="002F2A28"/>
    <w:rsid w:val="002F69D7"/>
    <w:rsid w:val="00317907"/>
    <w:rsid w:val="00331F6C"/>
    <w:rsid w:val="00346766"/>
    <w:rsid w:val="00366DD7"/>
    <w:rsid w:val="0038011A"/>
    <w:rsid w:val="003A25D0"/>
    <w:rsid w:val="003B3302"/>
    <w:rsid w:val="003D5A87"/>
    <w:rsid w:val="003F0438"/>
    <w:rsid w:val="00402B42"/>
    <w:rsid w:val="0042647E"/>
    <w:rsid w:val="0043008A"/>
    <w:rsid w:val="00446D35"/>
    <w:rsid w:val="00485F81"/>
    <w:rsid w:val="004963D7"/>
    <w:rsid w:val="004A0AD4"/>
    <w:rsid w:val="004B14A4"/>
    <w:rsid w:val="004C01E0"/>
    <w:rsid w:val="004C086D"/>
    <w:rsid w:val="004D1872"/>
    <w:rsid w:val="00503573"/>
    <w:rsid w:val="005059C0"/>
    <w:rsid w:val="00532FB6"/>
    <w:rsid w:val="0055782C"/>
    <w:rsid w:val="00573837"/>
    <w:rsid w:val="00587C22"/>
    <w:rsid w:val="005B1D6F"/>
    <w:rsid w:val="005B2C2E"/>
    <w:rsid w:val="005C72FF"/>
    <w:rsid w:val="005D0FD2"/>
    <w:rsid w:val="005E40B0"/>
    <w:rsid w:val="005E626F"/>
    <w:rsid w:val="0060149C"/>
    <w:rsid w:val="00605E78"/>
    <w:rsid w:val="006066C4"/>
    <w:rsid w:val="00614C50"/>
    <w:rsid w:val="00625CED"/>
    <w:rsid w:val="00630818"/>
    <w:rsid w:val="00636CFA"/>
    <w:rsid w:val="00643D25"/>
    <w:rsid w:val="00673CD7"/>
    <w:rsid w:val="00676224"/>
    <w:rsid w:val="006B5F71"/>
    <w:rsid w:val="006E6B41"/>
    <w:rsid w:val="006E7860"/>
    <w:rsid w:val="006F587F"/>
    <w:rsid w:val="007315F5"/>
    <w:rsid w:val="0073216C"/>
    <w:rsid w:val="0073717C"/>
    <w:rsid w:val="00771B15"/>
    <w:rsid w:val="00775543"/>
    <w:rsid w:val="00797690"/>
    <w:rsid w:val="007A33E0"/>
    <w:rsid w:val="007B2BCC"/>
    <w:rsid w:val="008344B0"/>
    <w:rsid w:val="00857B7D"/>
    <w:rsid w:val="00880E29"/>
    <w:rsid w:val="00887B67"/>
    <w:rsid w:val="00893E9E"/>
    <w:rsid w:val="0089610D"/>
    <w:rsid w:val="00896624"/>
    <w:rsid w:val="008B4D34"/>
    <w:rsid w:val="008B677C"/>
    <w:rsid w:val="008C4B4A"/>
    <w:rsid w:val="008F278D"/>
    <w:rsid w:val="00902375"/>
    <w:rsid w:val="00911999"/>
    <w:rsid w:val="00923799"/>
    <w:rsid w:val="00926CEE"/>
    <w:rsid w:val="009377E0"/>
    <w:rsid w:val="009501E9"/>
    <w:rsid w:val="00950D54"/>
    <w:rsid w:val="00960CD6"/>
    <w:rsid w:val="00965A9D"/>
    <w:rsid w:val="009B4BA9"/>
    <w:rsid w:val="009C338E"/>
    <w:rsid w:val="009C38E4"/>
    <w:rsid w:val="009E2AA5"/>
    <w:rsid w:val="00A03B50"/>
    <w:rsid w:val="00A46F6E"/>
    <w:rsid w:val="00A55943"/>
    <w:rsid w:val="00A55C2A"/>
    <w:rsid w:val="00A7392C"/>
    <w:rsid w:val="00A757D3"/>
    <w:rsid w:val="00A825C8"/>
    <w:rsid w:val="00A950F7"/>
    <w:rsid w:val="00AA0D91"/>
    <w:rsid w:val="00AA48EF"/>
    <w:rsid w:val="00AA79D6"/>
    <w:rsid w:val="00AB754C"/>
    <w:rsid w:val="00AE4033"/>
    <w:rsid w:val="00AE4EAA"/>
    <w:rsid w:val="00AE53C7"/>
    <w:rsid w:val="00AF5B24"/>
    <w:rsid w:val="00B115BA"/>
    <w:rsid w:val="00B33BB5"/>
    <w:rsid w:val="00B40BA7"/>
    <w:rsid w:val="00B40E19"/>
    <w:rsid w:val="00B47ABB"/>
    <w:rsid w:val="00B831A9"/>
    <w:rsid w:val="00B91D00"/>
    <w:rsid w:val="00B9406F"/>
    <w:rsid w:val="00BA1195"/>
    <w:rsid w:val="00BB5224"/>
    <w:rsid w:val="00BB717E"/>
    <w:rsid w:val="00BD65CB"/>
    <w:rsid w:val="00BE7015"/>
    <w:rsid w:val="00C074DF"/>
    <w:rsid w:val="00C25EAA"/>
    <w:rsid w:val="00C3011E"/>
    <w:rsid w:val="00C3798C"/>
    <w:rsid w:val="00C53523"/>
    <w:rsid w:val="00C56AD1"/>
    <w:rsid w:val="00C624D2"/>
    <w:rsid w:val="00C67430"/>
    <w:rsid w:val="00C71695"/>
    <w:rsid w:val="00C82F1D"/>
    <w:rsid w:val="00C935EB"/>
    <w:rsid w:val="00C953B9"/>
    <w:rsid w:val="00CA1F51"/>
    <w:rsid w:val="00CC0D05"/>
    <w:rsid w:val="00CC1C98"/>
    <w:rsid w:val="00CC5C56"/>
    <w:rsid w:val="00CE4364"/>
    <w:rsid w:val="00CE48DF"/>
    <w:rsid w:val="00CE6730"/>
    <w:rsid w:val="00CF5A40"/>
    <w:rsid w:val="00D164BE"/>
    <w:rsid w:val="00D33BB2"/>
    <w:rsid w:val="00D67DCF"/>
    <w:rsid w:val="00D73EA4"/>
    <w:rsid w:val="00D85F87"/>
    <w:rsid w:val="00DA6A4A"/>
    <w:rsid w:val="00DE4941"/>
    <w:rsid w:val="00E26AC1"/>
    <w:rsid w:val="00E34AA7"/>
    <w:rsid w:val="00E35D33"/>
    <w:rsid w:val="00E36A59"/>
    <w:rsid w:val="00E50E33"/>
    <w:rsid w:val="00E624F0"/>
    <w:rsid w:val="00E915B4"/>
    <w:rsid w:val="00EF5F4F"/>
    <w:rsid w:val="00F43ADB"/>
    <w:rsid w:val="00F84585"/>
    <w:rsid w:val="00F8795F"/>
    <w:rsid w:val="00F92576"/>
    <w:rsid w:val="00FA4A32"/>
    <w:rsid w:val="00FA5206"/>
    <w:rsid w:val="00FC6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775FFF0-EA4B-450F-A2EC-FCDB9EE8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3791</CharactersWithSpaces>
  <SharedDoc>false</SharedDoc>
  <HLinks>
    <vt:vector size="54" baseType="variant">
      <vt:variant>
        <vt:i4>393283</vt:i4>
      </vt:variant>
      <vt:variant>
        <vt:i4>39</vt:i4>
      </vt:variant>
      <vt:variant>
        <vt:i4>0</vt:i4>
      </vt:variant>
      <vt:variant>
        <vt:i4>5</vt:i4>
      </vt:variant>
      <vt:variant>
        <vt:lpwstr>http://www.nevo.co.il/advertisements/nevo-100.doc</vt:lpwstr>
      </vt:variant>
      <vt:variant>
        <vt:lpwstr/>
      </vt: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דחיית מועדים בענייני תכנון ובנייה (נגיף הקורונה החדש 2019) (יהודה ושומרון) (מס' 1840) (הוראת שעה), תש"ף-2020</vt:lpwstr>
  </property>
  <property fmtid="{D5CDD505-2E9C-101B-9397-08002B2CF9AE}" pid="4" name="LAWNUMBER">
    <vt:lpwstr>0120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9471‏</vt:lpwstr>
  </property>
</Properties>
</file>