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BE7015" w:rsidP="00BE7015">
      <w:pPr>
        <w:pStyle w:val="big-header"/>
        <w:ind w:left="0" w:right="1134"/>
        <w:rPr>
          <w:rFonts w:cs="FrankRuehl" w:hint="cs"/>
          <w:sz w:val="32"/>
          <w:rtl/>
        </w:rPr>
      </w:pPr>
      <w:r>
        <w:rPr>
          <w:rFonts w:cs="FrankRuehl" w:hint="cs"/>
          <w:sz w:val="32"/>
          <w:rtl/>
        </w:rPr>
        <w:t>צו בדבר הכרזת מרחבי תכנון (מועצות מקומיות ומועצות אזוריות) (יהודה והשומרון), תשס"ח-2008</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4143" w:rsidRPr="00304143">
        <w:tblPrEx>
          <w:tblCellMar>
            <w:top w:w="0" w:type="dxa"/>
            <w:bottom w:w="0" w:type="dxa"/>
          </w:tblCellMar>
        </w:tblPrEx>
        <w:tc>
          <w:tcPr>
            <w:tcW w:w="1247" w:type="dxa"/>
          </w:tcPr>
          <w:p w:rsidR="00304143" w:rsidRPr="00304143" w:rsidRDefault="00304143" w:rsidP="00304143">
            <w:pPr>
              <w:rPr>
                <w:rFonts w:cs="Frankruhel" w:hint="cs"/>
                <w:rtl/>
              </w:rPr>
            </w:pPr>
            <w:r>
              <w:rPr>
                <w:rtl/>
              </w:rPr>
              <w:t xml:space="preserve">סעיף 1 </w:t>
            </w:r>
          </w:p>
        </w:tc>
        <w:tc>
          <w:tcPr>
            <w:tcW w:w="5669" w:type="dxa"/>
          </w:tcPr>
          <w:p w:rsidR="00304143" w:rsidRPr="00304143" w:rsidRDefault="00304143" w:rsidP="00304143">
            <w:pPr>
              <w:rPr>
                <w:rFonts w:cs="Frankruhel" w:hint="cs"/>
                <w:rtl/>
              </w:rPr>
            </w:pPr>
            <w:r>
              <w:rPr>
                <w:rtl/>
              </w:rPr>
              <w:t>הגדרות</w:t>
            </w:r>
          </w:p>
        </w:tc>
        <w:tc>
          <w:tcPr>
            <w:tcW w:w="567" w:type="dxa"/>
          </w:tcPr>
          <w:p w:rsidR="00304143" w:rsidRPr="00304143" w:rsidRDefault="00304143" w:rsidP="00304143">
            <w:pPr>
              <w:rPr>
                <w:rStyle w:val="Hyperlink"/>
                <w:rFonts w:hint="cs"/>
                <w:rtl/>
              </w:rPr>
            </w:pPr>
            <w:hyperlink w:anchor="Seif1" w:tooltip="הגדרות" w:history="1">
              <w:r w:rsidRPr="00304143">
                <w:rPr>
                  <w:rStyle w:val="Hyperlink"/>
                </w:rPr>
                <w:t>Go</w:t>
              </w:r>
            </w:hyperlink>
          </w:p>
        </w:tc>
        <w:tc>
          <w:tcPr>
            <w:tcW w:w="850" w:type="dxa"/>
          </w:tcPr>
          <w:p w:rsidR="00304143" w:rsidRPr="00304143" w:rsidRDefault="00304143" w:rsidP="003041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04143" w:rsidRPr="00304143">
        <w:tblPrEx>
          <w:tblCellMar>
            <w:top w:w="0" w:type="dxa"/>
            <w:bottom w:w="0" w:type="dxa"/>
          </w:tblCellMar>
        </w:tblPrEx>
        <w:tc>
          <w:tcPr>
            <w:tcW w:w="1247" w:type="dxa"/>
          </w:tcPr>
          <w:p w:rsidR="00304143" w:rsidRPr="00304143" w:rsidRDefault="00304143" w:rsidP="00304143">
            <w:pPr>
              <w:rPr>
                <w:rFonts w:cs="Frankruhel" w:hint="cs"/>
                <w:rtl/>
              </w:rPr>
            </w:pPr>
            <w:r>
              <w:rPr>
                <w:rtl/>
              </w:rPr>
              <w:t xml:space="preserve">סעיף 2 </w:t>
            </w:r>
          </w:p>
        </w:tc>
        <w:tc>
          <w:tcPr>
            <w:tcW w:w="5669" w:type="dxa"/>
          </w:tcPr>
          <w:p w:rsidR="00304143" w:rsidRPr="00304143" w:rsidRDefault="00304143" w:rsidP="00304143">
            <w:pPr>
              <w:rPr>
                <w:rFonts w:cs="Frankruhel" w:hint="cs"/>
                <w:rtl/>
              </w:rPr>
            </w:pPr>
            <w:r>
              <w:rPr>
                <w:rtl/>
              </w:rPr>
              <w:t>קביעת מרחב תכנון</w:t>
            </w:r>
          </w:p>
        </w:tc>
        <w:tc>
          <w:tcPr>
            <w:tcW w:w="567" w:type="dxa"/>
          </w:tcPr>
          <w:p w:rsidR="00304143" w:rsidRPr="00304143" w:rsidRDefault="00304143" w:rsidP="00304143">
            <w:pPr>
              <w:rPr>
                <w:rStyle w:val="Hyperlink"/>
                <w:rFonts w:hint="cs"/>
                <w:rtl/>
              </w:rPr>
            </w:pPr>
            <w:hyperlink w:anchor="Seif5" w:tooltip="קביעת מרחב תכנון" w:history="1">
              <w:r w:rsidRPr="00304143">
                <w:rPr>
                  <w:rStyle w:val="Hyperlink"/>
                </w:rPr>
                <w:t>Go</w:t>
              </w:r>
            </w:hyperlink>
          </w:p>
        </w:tc>
        <w:tc>
          <w:tcPr>
            <w:tcW w:w="850" w:type="dxa"/>
          </w:tcPr>
          <w:p w:rsidR="00304143" w:rsidRPr="00304143" w:rsidRDefault="00304143" w:rsidP="003041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04143" w:rsidRPr="00304143">
        <w:tblPrEx>
          <w:tblCellMar>
            <w:top w:w="0" w:type="dxa"/>
            <w:bottom w:w="0" w:type="dxa"/>
          </w:tblCellMar>
        </w:tblPrEx>
        <w:tc>
          <w:tcPr>
            <w:tcW w:w="1247" w:type="dxa"/>
          </w:tcPr>
          <w:p w:rsidR="00304143" w:rsidRPr="00304143" w:rsidRDefault="00304143" w:rsidP="00304143">
            <w:pPr>
              <w:rPr>
                <w:rFonts w:cs="Frankruhel" w:hint="cs"/>
                <w:rtl/>
              </w:rPr>
            </w:pPr>
            <w:r>
              <w:rPr>
                <w:rtl/>
              </w:rPr>
              <w:t xml:space="preserve">סעיף 3 </w:t>
            </w:r>
          </w:p>
        </w:tc>
        <w:tc>
          <w:tcPr>
            <w:tcW w:w="5669" w:type="dxa"/>
          </w:tcPr>
          <w:p w:rsidR="00304143" w:rsidRPr="00304143" w:rsidRDefault="00304143" w:rsidP="00304143">
            <w:pPr>
              <w:rPr>
                <w:rFonts w:cs="Frankruhel" w:hint="cs"/>
                <w:rtl/>
              </w:rPr>
            </w:pPr>
            <w:r>
              <w:rPr>
                <w:rtl/>
              </w:rPr>
              <w:t>סייג</w:t>
            </w:r>
          </w:p>
        </w:tc>
        <w:tc>
          <w:tcPr>
            <w:tcW w:w="567" w:type="dxa"/>
          </w:tcPr>
          <w:p w:rsidR="00304143" w:rsidRPr="00304143" w:rsidRDefault="00304143" w:rsidP="00304143">
            <w:pPr>
              <w:rPr>
                <w:rStyle w:val="Hyperlink"/>
                <w:rFonts w:hint="cs"/>
                <w:rtl/>
              </w:rPr>
            </w:pPr>
            <w:hyperlink w:anchor="Seif6" w:tooltip="סייג" w:history="1">
              <w:r w:rsidRPr="00304143">
                <w:rPr>
                  <w:rStyle w:val="Hyperlink"/>
                </w:rPr>
                <w:t>Go</w:t>
              </w:r>
            </w:hyperlink>
          </w:p>
        </w:tc>
        <w:tc>
          <w:tcPr>
            <w:tcW w:w="850" w:type="dxa"/>
          </w:tcPr>
          <w:p w:rsidR="00304143" w:rsidRPr="00304143" w:rsidRDefault="00304143" w:rsidP="003041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304143" w:rsidRPr="00304143">
        <w:tblPrEx>
          <w:tblCellMar>
            <w:top w:w="0" w:type="dxa"/>
            <w:bottom w:w="0" w:type="dxa"/>
          </w:tblCellMar>
        </w:tblPrEx>
        <w:tc>
          <w:tcPr>
            <w:tcW w:w="1247" w:type="dxa"/>
          </w:tcPr>
          <w:p w:rsidR="00304143" w:rsidRPr="00304143" w:rsidRDefault="00304143" w:rsidP="00304143">
            <w:pPr>
              <w:rPr>
                <w:rFonts w:cs="Frankruhel" w:hint="cs"/>
                <w:rtl/>
              </w:rPr>
            </w:pPr>
            <w:r>
              <w:rPr>
                <w:rtl/>
              </w:rPr>
              <w:t xml:space="preserve">סעיף 4 </w:t>
            </w:r>
          </w:p>
        </w:tc>
        <w:tc>
          <w:tcPr>
            <w:tcW w:w="5669" w:type="dxa"/>
          </w:tcPr>
          <w:p w:rsidR="00304143" w:rsidRPr="00304143" w:rsidRDefault="00304143" w:rsidP="00304143">
            <w:pPr>
              <w:rPr>
                <w:rFonts w:cs="Frankruhel" w:hint="cs"/>
                <w:rtl/>
              </w:rPr>
            </w:pPr>
            <w:r>
              <w:rPr>
                <w:rtl/>
              </w:rPr>
              <w:t>ביטול</w:t>
            </w:r>
          </w:p>
        </w:tc>
        <w:tc>
          <w:tcPr>
            <w:tcW w:w="567" w:type="dxa"/>
          </w:tcPr>
          <w:p w:rsidR="00304143" w:rsidRPr="00304143" w:rsidRDefault="00304143" w:rsidP="00304143">
            <w:pPr>
              <w:rPr>
                <w:rStyle w:val="Hyperlink"/>
                <w:rFonts w:hint="cs"/>
                <w:rtl/>
              </w:rPr>
            </w:pPr>
            <w:hyperlink w:anchor="Seif2" w:tooltip="ביטול" w:history="1">
              <w:r w:rsidRPr="00304143">
                <w:rPr>
                  <w:rStyle w:val="Hyperlink"/>
                </w:rPr>
                <w:t>Go</w:t>
              </w:r>
            </w:hyperlink>
          </w:p>
        </w:tc>
        <w:tc>
          <w:tcPr>
            <w:tcW w:w="850" w:type="dxa"/>
          </w:tcPr>
          <w:p w:rsidR="00304143" w:rsidRPr="00304143" w:rsidRDefault="00304143" w:rsidP="003041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304143" w:rsidRPr="00304143">
        <w:tblPrEx>
          <w:tblCellMar>
            <w:top w:w="0" w:type="dxa"/>
            <w:bottom w:w="0" w:type="dxa"/>
          </w:tblCellMar>
        </w:tblPrEx>
        <w:tc>
          <w:tcPr>
            <w:tcW w:w="1247" w:type="dxa"/>
          </w:tcPr>
          <w:p w:rsidR="00304143" w:rsidRPr="00304143" w:rsidRDefault="00304143" w:rsidP="00304143">
            <w:pPr>
              <w:rPr>
                <w:rFonts w:cs="Frankruhel" w:hint="cs"/>
                <w:rtl/>
              </w:rPr>
            </w:pPr>
            <w:r>
              <w:rPr>
                <w:rtl/>
              </w:rPr>
              <w:t xml:space="preserve">סעיף 5 </w:t>
            </w:r>
          </w:p>
        </w:tc>
        <w:tc>
          <w:tcPr>
            <w:tcW w:w="5669" w:type="dxa"/>
          </w:tcPr>
          <w:p w:rsidR="00304143" w:rsidRPr="00304143" w:rsidRDefault="00304143" w:rsidP="00304143">
            <w:pPr>
              <w:rPr>
                <w:rFonts w:cs="Frankruhel" w:hint="cs"/>
                <w:rtl/>
              </w:rPr>
            </w:pPr>
            <w:r>
              <w:rPr>
                <w:rtl/>
              </w:rPr>
              <w:t>תחילת תוקף</w:t>
            </w:r>
          </w:p>
        </w:tc>
        <w:tc>
          <w:tcPr>
            <w:tcW w:w="567" w:type="dxa"/>
          </w:tcPr>
          <w:p w:rsidR="00304143" w:rsidRPr="00304143" w:rsidRDefault="00304143" w:rsidP="00304143">
            <w:pPr>
              <w:rPr>
                <w:rStyle w:val="Hyperlink"/>
                <w:rFonts w:hint="cs"/>
                <w:rtl/>
              </w:rPr>
            </w:pPr>
            <w:hyperlink w:anchor="Seif3" w:tooltip="תחילת תוקף" w:history="1">
              <w:r w:rsidRPr="00304143">
                <w:rPr>
                  <w:rStyle w:val="Hyperlink"/>
                </w:rPr>
                <w:t>Go</w:t>
              </w:r>
            </w:hyperlink>
          </w:p>
        </w:tc>
        <w:tc>
          <w:tcPr>
            <w:tcW w:w="850" w:type="dxa"/>
          </w:tcPr>
          <w:p w:rsidR="00304143" w:rsidRPr="00304143" w:rsidRDefault="00304143" w:rsidP="003041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304143" w:rsidRPr="00304143">
        <w:tblPrEx>
          <w:tblCellMar>
            <w:top w:w="0" w:type="dxa"/>
            <w:bottom w:w="0" w:type="dxa"/>
          </w:tblCellMar>
        </w:tblPrEx>
        <w:tc>
          <w:tcPr>
            <w:tcW w:w="1247" w:type="dxa"/>
          </w:tcPr>
          <w:p w:rsidR="00304143" w:rsidRPr="00304143" w:rsidRDefault="00304143" w:rsidP="00304143">
            <w:pPr>
              <w:rPr>
                <w:rFonts w:cs="Frankruhel" w:hint="cs"/>
                <w:rtl/>
              </w:rPr>
            </w:pPr>
            <w:r>
              <w:rPr>
                <w:rtl/>
              </w:rPr>
              <w:t xml:space="preserve">סעיף 6 </w:t>
            </w:r>
          </w:p>
        </w:tc>
        <w:tc>
          <w:tcPr>
            <w:tcW w:w="5669" w:type="dxa"/>
          </w:tcPr>
          <w:p w:rsidR="00304143" w:rsidRPr="00304143" w:rsidRDefault="00304143" w:rsidP="00304143">
            <w:pPr>
              <w:rPr>
                <w:rFonts w:cs="Frankruhel" w:hint="cs"/>
                <w:rtl/>
              </w:rPr>
            </w:pPr>
            <w:r>
              <w:rPr>
                <w:rtl/>
              </w:rPr>
              <w:t>השם</w:t>
            </w:r>
          </w:p>
        </w:tc>
        <w:tc>
          <w:tcPr>
            <w:tcW w:w="567" w:type="dxa"/>
          </w:tcPr>
          <w:p w:rsidR="00304143" w:rsidRPr="00304143" w:rsidRDefault="00304143" w:rsidP="00304143">
            <w:pPr>
              <w:rPr>
                <w:rStyle w:val="Hyperlink"/>
                <w:rFonts w:hint="cs"/>
                <w:rtl/>
              </w:rPr>
            </w:pPr>
            <w:hyperlink w:anchor="Seif4" w:tooltip="השם" w:history="1">
              <w:r w:rsidRPr="00304143">
                <w:rPr>
                  <w:rStyle w:val="Hyperlink"/>
                </w:rPr>
                <w:t>Go</w:t>
              </w:r>
            </w:hyperlink>
          </w:p>
        </w:tc>
        <w:tc>
          <w:tcPr>
            <w:tcW w:w="850" w:type="dxa"/>
          </w:tcPr>
          <w:p w:rsidR="00304143" w:rsidRPr="00304143" w:rsidRDefault="00304143" w:rsidP="003041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rsidR="002053AF" w:rsidRDefault="002053AF">
      <w:pPr>
        <w:pStyle w:val="big-header"/>
        <w:ind w:left="0" w:right="1134"/>
        <w:rPr>
          <w:rFonts w:cs="FrankRuehl" w:hint="cs"/>
          <w:sz w:val="32"/>
          <w:rtl/>
        </w:rPr>
      </w:pPr>
    </w:p>
    <w:p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rsidR="002053AF" w:rsidRDefault="00BE7015" w:rsidP="00C71695">
      <w:pPr>
        <w:pStyle w:val="big-header"/>
        <w:ind w:left="0" w:right="1134"/>
        <w:rPr>
          <w:rStyle w:val="default"/>
          <w:rFonts w:hint="cs"/>
          <w:sz w:val="22"/>
          <w:szCs w:val="22"/>
          <w:rtl/>
        </w:rPr>
      </w:pPr>
      <w:r>
        <w:rPr>
          <w:rFonts w:cs="FrankRuehl" w:hint="cs"/>
          <w:sz w:val="32"/>
          <w:rtl/>
        </w:rPr>
        <w:t>צו בדבר הכרזת מרחבי תכנון (מועצות מקומיות ומועצות אזוריות) (יהודה והשומרון), תשס"ח-2008</w:t>
      </w:r>
      <w:r w:rsidR="002053AF">
        <w:rPr>
          <w:rStyle w:val="default"/>
          <w:sz w:val="22"/>
          <w:szCs w:val="22"/>
          <w:rtl/>
        </w:rPr>
        <w:footnoteReference w:customMarkFollows="1" w:id="1"/>
        <w:t>*</w:t>
      </w:r>
    </w:p>
    <w:p w:rsidR="002053AF" w:rsidRDefault="002053AF" w:rsidP="00BE7015">
      <w:pPr>
        <w:pStyle w:val="P00"/>
        <w:spacing w:before="72"/>
        <w:ind w:left="0" w:right="1134"/>
        <w:rPr>
          <w:rStyle w:val="default"/>
          <w:rFonts w:cs="FrankRuehl" w:hint="cs"/>
          <w:rtl/>
        </w:rPr>
      </w:pPr>
      <w:r>
        <w:rPr>
          <w:rStyle w:val="default"/>
          <w:rFonts w:cs="FrankRuehl" w:hint="cs"/>
          <w:rtl/>
        </w:rPr>
        <w:tab/>
      </w:r>
      <w:r w:rsidR="00C53523">
        <w:rPr>
          <w:rStyle w:val="default"/>
          <w:rFonts w:cs="FrankRuehl" w:hint="cs"/>
          <w:rtl/>
        </w:rPr>
        <w:t xml:space="preserve">בתוקף סמכותי </w:t>
      </w:r>
      <w:r w:rsidR="00BE7015">
        <w:rPr>
          <w:rStyle w:val="default"/>
          <w:rFonts w:cs="FrankRuehl" w:hint="cs"/>
          <w:rtl/>
        </w:rPr>
        <w:t xml:space="preserve">לפי סעיף 13 לחוק תכנון ערים, כפרים ובניינים, מס' 79 לשנת 1966 (להלן: "החוק"), ועל סמך המלצת מועצת התכנון העליונה והצעת מנהל לשכת התכנון המרכזית, </w:t>
      </w:r>
      <w:r w:rsidR="00C53523">
        <w:rPr>
          <w:rStyle w:val="default"/>
          <w:rFonts w:cs="FrankRuehl" w:hint="cs"/>
          <w:rtl/>
        </w:rPr>
        <w:t xml:space="preserve">הנני </w:t>
      </w:r>
      <w:r w:rsidR="00BE7015">
        <w:rPr>
          <w:rStyle w:val="default"/>
          <w:rFonts w:cs="FrankRuehl" w:hint="cs"/>
          <w:rtl/>
        </w:rPr>
        <w:t>מצווה בזאת</w:t>
      </w:r>
      <w:r w:rsidR="002E532F">
        <w:rPr>
          <w:rStyle w:val="default"/>
          <w:rFonts w:cs="FrankRuehl" w:hint="cs"/>
          <w:rtl/>
        </w:rPr>
        <w:t xml:space="preserve"> </w:t>
      </w:r>
      <w:r>
        <w:rPr>
          <w:rStyle w:val="default"/>
          <w:rFonts w:cs="FrankRuehl" w:hint="cs"/>
          <w:rtl/>
        </w:rPr>
        <w:t>לאמור:</w:t>
      </w:r>
    </w:p>
    <w:p w:rsidR="002053AF" w:rsidRDefault="002053AF" w:rsidP="00BE701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1.95pt;z-index:251655168" o:allowincell="f" filled="f" stroked="f" strokecolor="lime" strokeweight=".25pt">
            <v:textbox style="mso-next-textbox:#_x0000_s1026" inset="0,0,0,0">
              <w:txbxContent>
                <w:p w:rsidR="006F587F" w:rsidRDefault="00C53523">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E7015">
        <w:rPr>
          <w:rStyle w:val="default"/>
          <w:rFonts w:cs="FrankRuehl" w:hint="cs"/>
          <w:rtl/>
        </w:rPr>
        <w:t>בצו</w:t>
      </w:r>
      <w:r w:rsidR="00C53523">
        <w:rPr>
          <w:rStyle w:val="default"/>
          <w:rFonts w:cs="FrankRuehl" w:hint="cs"/>
          <w:rtl/>
        </w:rPr>
        <w:t xml:space="preserve"> זה </w:t>
      </w:r>
      <w:r w:rsidR="00C53523">
        <w:rPr>
          <w:rStyle w:val="default"/>
          <w:rFonts w:cs="FrankRuehl"/>
          <w:rtl/>
        </w:rPr>
        <w:t>–</w:t>
      </w:r>
    </w:p>
    <w:p w:rsidR="00BE7015" w:rsidRDefault="00BE7015" w:rsidP="00BE7015">
      <w:pPr>
        <w:pStyle w:val="P00"/>
        <w:spacing w:before="72"/>
        <w:ind w:left="0" w:right="1134"/>
        <w:rPr>
          <w:rStyle w:val="default"/>
          <w:rFonts w:cs="FrankRuehl" w:hint="cs"/>
          <w:rtl/>
        </w:rPr>
      </w:pPr>
      <w:r>
        <w:rPr>
          <w:rStyle w:val="default"/>
          <w:rFonts w:cs="FrankRuehl" w:hint="cs"/>
          <w:rtl/>
        </w:rPr>
        <w:tab/>
        <w:t xml:space="preserve">"ישראלי" </w:t>
      </w:r>
      <w:r>
        <w:rPr>
          <w:rStyle w:val="default"/>
          <w:rFonts w:cs="FrankRuehl"/>
          <w:rtl/>
        </w:rPr>
        <w:t>–</w:t>
      </w:r>
      <w:r>
        <w:rPr>
          <w:rStyle w:val="default"/>
          <w:rFonts w:cs="FrankRuehl" w:hint="cs"/>
          <w:rtl/>
        </w:rPr>
        <w:t xml:space="preserve"> מי שאינו תושב האזור, למעט מפקד כוחות צה"ל באזור או רשות הפועלת מטעם מפקד כוחות צה"ל באזור, שאינה רשות מקומית.</w:t>
      </w:r>
    </w:p>
    <w:p w:rsidR="00BE7015" w:rsidRDefault="00BE7015" w:rsidP="00BE7015">
      <w:pPr>
        <w:pStyle w:val="P00"/>
        <w:spacing w:before="72"/>
        <w:ind w:left="0" w:right="1134"/>
        <w:rPr>
          <w:rStyle w:val="default"/>
          <w:rFonts w:cs="FrankRuehl" w:hint="cs"/>
          <w:rtl/>
        </w:rPr>
      </w:pPr>
      <w:r>
        <w:rPr>
          <w:rStyle w:val="default"/>
          <w:rFonts w:cs="FrankRuehl" w:hint="cs"/>
          <w:rtl/>
        </w:rPr>
        <w:tab/>
        <w:t xml:space="preserve">"מועצה" </w:t>
      </w:r>
      <w:r>
        <w:rPr>
          <w:rStyle w:val="default"/>
          <w:rFonts w:cs="FrankRuehl"/>
          <w:rtl/>
        </w:rPr>
        <w:t>–</w:t>
      </w:r>
      <w:r>
        <w:rPr>
          <w:rStyle w:val="default"/>
          <w:rFonts w:cs="FrankRuehl" w:hint="cs"/>
          <w:rtl/>
        </w:rPr>
        <w:t xml:space="preserve"> כהגדרתה בתקנון המועצות האזוריות (יהודה והשומרון), התשל"ט-1979, או כהגדרתה בתקנון המועצות המקומיות (יהודה והשומרון), התשמ"א-1981, לפי הענין.</w:t>
      </w:r>
    </w:p>
    <w:p w:rsidR="00BE7015" w:rsidRDefault="00BE7015" w:rsidP="00BE7015">
      <w:pPr>
        <w:pStyle w:val="P00"/>
        <w:spacing w:before="72"/>
        <w:ind w:left="0" w:right="1134"/>
        <w:rPr>
          <w:rStyle w:val="default"/>
          <w:rFonts w:cs="FrankRuehl" w:hint="cs"/>
          <w:rtl/>
        </w:rPr>
      </w:pPr>
      <w:r>
        <w:rPr>
          <w:rStyle w:val="default"/>
          <w:rFonts w:cs="FrankRuehl" w:hint="cs"/>
          <w:rtl/>
        </w:rPr>
        <w:tab/>
        <w:t xml:space="preserve">"מועצת התכנון העליונה" </w:t>
      </w:r>
      <w:r>
        <w:rPr>
          <w:rStyle w:val="default"/>
          <w:rFonts w:cs="FrankRuehl"/>
          <w:rtl/>
        </w:rPr>
        <w:t>–</w:t>
      </w:r>
      <w:r>
        <w:rPr>
          <w:rStyle w:val="default"/>
          <w:rFonts w:cs="FrankRuehl" w:hint="cs"/>
          <w:rtl/>
        </w:rPr>
        <w:t xml:space="preserve"> לרבות ועדת משנה של מועצת התכנון העליונה שמונתה לפי סעיף 7א לצו.</w:t>
      </w:r>
    </w:p>
    <w:p w:rsidR="00BE7015" w:rsidRDefault="00BE7015" w:rsidP="00BE7015">
      <w:pPr>
        <w:pStyle w:val="P00"/>
        <w:spacing w:before="72"/>
        <w:ind w:left="0" w:right="1134"/>
        <w:rPr>
          <w:rStyle w:val="default"/>
          <w:rFonts w:cs="FrankRuehl" w:hint="cs"/>
          <w:rtl/>
        </w:rPr>
      </w:pPr>
      <w:r>
        <w:rPr>
          <w:rStyle w:val="default"/>
          <w:rFonts w:cs="FrankRuehl" w:hint="cs"/>
          <w:rtl/>
        </w:rPr>
        <w:tab/>
        <w:t xml:space="preserve">"הממונה", "רכוש ממשלתי" </w:t>
      </w:r>
      <w:r>
        <w:rPr>
          <w:rStyle w:val="default"/>
          <w:rFonts w:cs="FrankRuehl"/>
          <w:rtl/>
        </w:rPr>
        <w:t>–</w:t>
      </w:r>
      <w:r>
        <w:rPr>
          <w:rStyle w:val="default"/>
          <w:rFonts w:cs="FrankRuehl" w:hint="cs"/>
          <w:rtl/>
        </w:rPr>
        <w:t xml:space="preserve"> כהגדרתם בצו בדבר רכוש ממשלתי (יהודה והשומרון) (מס' 59), התשכ"ז-1967.</w:t>
      </w:r>
    </w:p>
    <w:p w:rsidR="00BE7015" w:rsidRDefault="00BE7015" w:rsidP="00BE7015">
      <w:pPr>
        <w:pStyle w:val="P00"/>
        <w:spacing w:before="72"/>
        <w:ind w:left="0" w:right="1134"/>
        <w:rPr>
          <w:rStyle w:val="default"/>
          <w:rFonts w:cs="FrankRuehl" w:hint="cs"/>
          <w:rtl/>
        </w:rPr>
      </w:pPr>
      <w:r>
        <w:rPr>
          <w:rStyle w:val="default"/>
          <w:rFonts w:cs="FrankRuehl" w:hint="cs"/>
          <w:rtl/>
        </w:rPr>
        <w:tab/>
        <w:t xml:space="preserve">"הצו" </w:t>
      </w:r>
      <w:r>
        <w:rPr>
          <w:rStyle w:val="default"/>
          <w:rFonts w:cs="FrankRuehl"/>
          <w:rtl/>
        </w:rPr>
        <w:t>–</w:t>
      </w:r>
      <w:r>
        <w:rPr>
          <w:rStyle w:val="default"/>
          <w:rFonts w:cs="FrankRuehl" w:hint="cs"/>
          <w:rtl/>
        </w:rPr>
        <w:t xml:space="preserve"> צו בדבר תכנון ערים, כפרים ובנינים (יהודה והשומרון) (מס' 418), התשל"א-1971.</w:t>
      </w:r>
    </w:p>
    <w:p w:rsidR="00BE7015" w:rsidRDefault="00BE7015" w:rsidP="0046276C">
      <w:pPr>
        <w:pStyle w:val="P00"/>
        <w:spacing w:before="72"/>
        <w:ind w:left="0" w:right="1134"/>
        <w:rPr>
          <w:rStyle w:val="default"/>
          <w:rFonts w:cs="FrankRuehl" w:hint="cs"/>
          <w:rtl/>
        </w:rPr>
      </w:pPr>
      <w:r>
        <w:rPr>
          <w:rStyle w:val="default"/>
          <w:rFonts w:cs="FrankRuehl" w:hint="cs"/>
          <w:rtl/>
        </w:rPr>
        <w:tab/>
        <w:t xml:space="preserve">"תושב האזור" </w:t>
      </w:r>
      <w:r>
        <w:rPr>
          <w:rStyle w:val="default"/>
          <w:rFonts w:cs="FrankRuehl"/>
          <w:rtl/>
        </w:rPr>
        <w:t>–</w:t>
      </w:r>
      <w:r>
        <w:rPr>
          <w:rStyle w:val="default"/>
          <w:rFonts w:cs="FrankRuehl" w:hint="cs"/>
          <w:rtl/>
        </w:rPr>
        <w:t xml:space="preserve"> תושב כהגדרתו בצו בדבר תעודת זהות ומרשם אוכלוסין (יהודה והשומרון) (מס' 297), התשכ"ט-1969, וכן תאגיד שהו</w:t>
      </w:r>
      <w:r w:rsidR="0046276C">
        <w:rPr>
          <w:rStyle w:val="default"/>
          <w:rFonts w:cs="FrankRuehl" w:hint="cs"/>
          <w:rtl/>
        </w:rPr>
        <w:t>ק</w:t>
      </w:r>
      <w:r>
        <w:rPr>
          <w:rStyle w:val="default"/>
          <w:rFonts w:cs="FrankRuehl" w:hint="cs"/>
          <w:rtl/>
        </w:rPr>
        <w:t>ם בדין או בתחיקת בטחון או מכוחם שהשליטה והניהול על עסקיו הם על ידי תושב האזור.</w:t>
      </w:r>
    </w:p>
    <w:p w:rsidR="00BE7015" w:rsidRDefault="00BE7015" w:rsidP="00BE7015">
      <w:pPr>
        <w:pStyle w:val="P00"/>
        <w:spacing w:before="72"/>
        <w:ind w:left="0" w:right="1134"/>
        <w:rPr>
          <w:rStyle w:val="default"/>
          <w:rFonts w:cs="FrankRuehl" w:hint="cs"/>
          <w:rtl/>
        </w:rPr>
      </w:pPr>
      <w:r>
        <w:rPr>
          <w:rStyle w:val="default"/>
          <w:rFonts w:cs="FrankRuehl" w:hint="cs"/>
          <w:rtl/>
        </w:rPr>
        <w:tab/>
        <w:t xml:space="preserve">"תחום שיפוט" </w:t>
      </w:r>
      <w:r>
        <w:rPr>
          <w:rStyle w:val="default"/>
          <w:rFonts w:cs="FrankRuehl"/>
          <w:rtl/>
        </w:rPr>
        <w:t>–</w:t>
      </w:r>
      <w:r>
        <w:rPr>
          <w:rStyle w:val="default"/>
          <w:rFonts w:cs="FrankRuehl" w:hint="cs"/>
          <w:rtl/>
        </w:rPr>
        <w:t xml:space="preserve"> כהגדרת "מועצה אזורית" בצו בדבר ניהול מועצות אזוריות (יהודה והשומרון) (מס' 783), התשל"ט-1979, או כהגדרתה "מועצה מקומית" בצו בדבר ניהול מועצות מקומיות (יהודה והשומרון) (מס' 892), התשמ"א-1981, לפי הענין.</w:t>
      </w:r>
    </w:p>
    <w:p w:rsidR="002053AF" w:rsidRDefault="002053AF" w:rsidP="009E2AA5">
      <w:pPr>
        <w:pStyle w:val="P00"/>
        <w:spacing w:before="72"/>
        <w:ind w:left="0" w:right="1134"/>
        <w:rPr>
          <w:rStyle w:val="big-number"/>
          <w:rFonts w:cs="FrankRuehl" w:hint="cs"/>
          <w:sz w:val="26"/>
          <w:szCs w:val="26"/>
          <w:rtl/>
        </w:rPr>
      </w:pPr>
      <w:bookmarkStart w:id="1" w:name="Seif5"/>
      <w:bookmarkEnd w:id="1"/>
      <w:r>
        <w:rPr>
          <w:rFonts w:cs="Miriam"/>
          <w:szCs w:val="32"/>
          <w:rtl/>
          <w:lang w:val="he-IL"/>
        </w:rPr>
        <w:pict>
          <v:shapetype id="_x0000_t202" coordsize="21600,21600" o:spt="202" path="m,l,21600r21600,l21600,xe">
            <v:stroke joinstyle="miter"/>
            <v:path gradientshapeok="t" o:connecttype="rect"/>
          </v:shapetype>
          <v:shape id="_x0000_s1354" type="#_x0000_t202" style="position:absolute;left:0;text-align:left;margin-left:470.35pt;margin-top:7.1pt;width:1in;height:9.9pt;z-index:251659264" filled="f" stroked="f">
            <v:textbox inset="1mm,0,1mm,0">
              <w:txbxContent>
                <w:p w:rsidR="006F587F" w:rsidRDefault="009E2AA5">
                  <w:pPr>
                    <w:spacing w:line="160" w:lineRule="exact"/>
                    <w:rPr>
                      <w:rFonts w:cs="Miriam" w:hint="cs"/>
                      <w:sz w:val="18"/>
                      <w:szCs w:val="18"/>
                      <w:rtl/>
                    </w:rPr>
                  </w:pPr>
                  <w:r>
                    <w:rPr>
                      <w:rFonts w:cs="Miriam" w:hint="cs"/>
                      <w:sz w:val="18"/>
                      <w:szCs w:val="18"/>
                      <w:rtl/>
                    </w:rPr>
                    <w:t>קביעת מרחב תכנון</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E2AA5">
        <w:rPr>
          <w:rStyle w:val="big-number"/>
          <w:rFonts w:cs="FrankRuehl" w:hint="cs"/>
          <w:sz w:val="26"/>
          <w:szCs w:val="26"/>
          <w:rtl/>
        </w:rPr>
        <w:t>(א)</w:t>
      </w:r>
      <w:r w:rsidR="009E2AA5">
        <w:rPr>
          <w:rStyle w:val="big-number"/>
          <w:rFonts w:cs="FrankRuehl" w:hint="cs"/>
          <w:sz w:val="26"/>
          <w:szCs w:val="26"/>
          <w:rtl/>
        </w:rPr>
        <w:tab/>
        <w:t>מרחב תכנון של מועצה יהיה מורכב מכל אחד מן השטחים המפורטים להלן בתחום שיפוטה של אותה מועצה:</w:t>
      </w:r>
    </w:p>
    <w:p w:rsidR="009E2AA5" w:rsidRDefault="009E2AA5" w:rsidP="009E2AA5">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שטח שלגביו אושרה תכנית תכנון מפורטת על ידי מועצת התכנון העליונה לאחר היום הקובע;</w:t>
      </w:r>
    </w:p>
    <w:p w:rsidR="009E2AA5" w:rsidRDefault="009E2AA5" w:rsidP="009E2AA5">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מקרקעין שהינם רכוש ממשלתי;</w:t>
      </w:r>
    </w:p>
    <w:p w:rsidR="009E2AA5" w:rsidRDefault="009E2AA5" w:rsidP="009E2AA5">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מקרקעין שהינם בבעלותו של ישראל.</w:t>
      </w:r>
    </w:p>
    <w:p w:rsidR="009E2AA5" w:rsidRDefault="009E2AA5" w:rsidP="009E2AA5">
      <w:pPr>
        <w:pStyle w:val="P00"/>
        <w:spacing w:before="72"/>
        <w:ind w:left="0" w:right="1134"/>
        <w:rPr>
          <w:rStyle w:val="default"/>
          <w:rFonts w:cs="FrankRuehl" w:hint="cs"/>
          <w:rtl/>
        </w:rPr>
      </w:pPr>
      <w:r>
        <w:rPr>
          <w:rStyle w:val="big-number"/>
          <w:rFonts w:cs="FrankRuehl" w:hint="cs"/>
          <w:sz w:val="26"/>
          <w:szCs w:val="26"/>
          <w:rtl/>
        </w:rPr>
        <w:tab/>
        <w:t>(ב)</w:t>
      </w:r>
      <w:r>
        <w:rPr>
          <w:rStyle w:val="big-number"/>
          <w:rFonts w:cs="FrankRuehl" w:hint="cs"/>
          <w:sz w:val="26"/>
          <w:szCs w:val="26"/>
          <w:rtl/>
        </w:rPr>
        <w:tab/>
        <w:t>למען הסר ספק, אין בהוראות סעיף זה כדי לפטור מחובת מתן הרשאתו או אישורו של הממונה או בעל זכויות במקרקעין לביצוע פעולה במקרקעין, מקום בו הרשאה או אישור כאמור נדרשים לפי כל דין, תחיקת בטחון, הסכם או נוהל.</w:t>
      </w:r>
    </w:p>
    <w:p w:rsidR="001F398C" w:rsidRDefault="001956C4" w:rsidP="009E2AA5">
      <w:pPr>
        <w:pStyle w:val="P00"/>
        <w:spacing w:before="72"/>
        <w:ind w:left="0" w:right="1134"/>
        <w:rPr>
          <w:rStyle w:val="default"/>
          <w:rFonts w:cs="FrankRuehl" w:hint="cs"/>
          <w:rtl/>
        </w:rPr>
      </w:pPr>
      <w:bookmarkStart w:id="2" w:name="Seif6"/>
      <w:bookmarkEnd w:id="2"/>
      <w:r>
        <w:rPr>
          <w:rFonts w:cs="Miriam" w:hint="cs"/>
          <w:sz w:val="32"/>
          <w:szCs w:val="32"/>
          <w:rtl/>
          <w:lang w:eastAsia="en-US"/>
        </w:rPr>
        <w:pict>
          <v:shape id="_x0000_s1361" type="#_x0000_t202" style="position:absolute;left:0;text-align:left;margin-left:470.35pt;margin-top:7.1pt;width:1in;height:11.8pt;z-index:251660288" filled="f" stroked="f">
            <v:textbox inset="1mm,0,1mm,0">
              <w:txbxContent>
                <w:p w:rsidR="006F587F" w:rsidRDefault="009E2AA5" w:rsidP="001D326B">
                  <w:pPr>
                    <w:spacing w:line="160" w:lineRule="exact"/>
                    <w:rPr>
                      <w:rFonts w:cs="Miriam" w:hint="cs"/>
                      <w:sz w:val="18"/>
                      <w:szCs w:val="18"/>
                      <w:rtl/>
                    </w:rPr>
                  </w:pPr>
                  <w:r>
                    <w:rPr>
                      <w:rFonts w:cs="Miriam" w:hint="cs"/>
                      <w:sz w:val="18"/>
                      <w:szCs w:val="18"/>
                      <w:rtl/>
                    </w:rPr>
                    <w:t>סייג</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9E2AA5">
        <w:rPr>
          <w:rStyle w:val="default"/>
          <w:rFonts w:cs="FrankRuehl" w:hint="cs"/>
          <w:rtl/>
        </w:rPr>
        <w:t xml:space="preserve">על אף האמור, מרחב התכנון לא יכלול </w:t>
      </w:r>
      <w:r w:rsidR="009E2AA5">
        <w:rPr>
          <w:rStyle w:val="default"/>
          <w:rFonts w:cs="FrankRuehl"/>
          <w:rtl/>
        </w:rPr>
        <w:t>–</w:t>
      </w:r>
    </w:p>
    <w:p w:rsidR="009E2AA5" w:rsidRDefault="009E2AA5" w:rsidP="009E2AA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שטח שלגביו סמכות מתן רשיון לפי הפרק הרביעי לחוק נתונה, לפי תכנית תכנון מאושרת, לפי אצילת סמכויות שניתנה לפי סעיף 7א לצו או לפי כל דין או תחיקת בטחון, למועצת התכנון העליונה בלבד;</w:t>
      </w:r>
    </w:p>
    <w:p w:rsidR="009E2AA5" w:rsidRDefault="009E2AA5" w:rsidP="009E2AA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בנין, מחנה, דרך או שטח המוחזר או נועד להיות מוחזק בידי מפקד כוחות צה"ל באזור או רשות הפועלת מטעם מפקד כוחות צה"ל באזור, שאינה רשות מקומית, למעט בנין, מחנה, דרך או שטח שאינו משמש למטרה בטחונית או שלא נועד לכך.</w:t>
      </w:r>
    </w:p>
    <w:p w:rsidR="009E2AA5" w:rsidRDefault="009E2AA5" w:rsidP="009E2AA5">
      <w:pPr>
        <w:pStyle w:val="P00"/>
        <w:spacing w:before="72"/>
        <w:ind w:left="624" w:right="1134"/>
        <w:rPr>
          <w:rStyle w:val="default"/>
          <w:rFonts w:cs="FrankRuehl" w:hint="cs"/>
          <w:rtl/>
        </w:rPr>
      </w:pPr>
      <w:r>
        <w:rPr>
          <w:rStyle w:val="default"/>
          <w:rFonts w:cs="FrankRuehl" w:hint="cs"/>
          <w:rtl/>
        </w:rPr>
        <w:lastRenderedPageBreak/>
        <w:t>(ג)</w:t>
      </w:r>
      <w:r>
        <w:rPr>
          <w:rStyle w:val="default"/>
          <w:rFonts w:cs="FrankRuehl" w:hint="cs"/>
          <w:rtl/>
        </w:rPr>
        <w:tab/>
        <w:t>מקרקעין התפוסים לצרכים צבאיים.</w:t>
      </w:r>
    </w:p>
    <w:p w:rsidR="002E532F" w:rsidRDefault="002053AF" w:rsidP="009E2AA5">
      <w:pPr>
        <w:pStyle w:val="P00"/>
        <w:spacing w:before="72"/>
        <w:ind w:left="0" w:right="1134"/>
        <w:rPr>
          <w:rStyle w:val="default"/>
          <w:rFonts w:cs="FrankRuehl" w:hint="cs"/>
          <w:rtl/>
        </w:rPr>
      </w:pPr>
      <w:bookmarkStart w:id="3" w:name="Seif2"/>
      <w:bookmarkEnd w:id="3"/>
      <w:r>
        <w:rPr>
          <w:rFonts w:cs="Miriam"/>
          <w:szCs w:val="32"/>
          <w:rtl/>
          <w:lang w:val="he-IL"/>
        </w:rPr>
        <w:pict>
          <v:shape id="_x0000_s1316" type="#_x0000_t202" style="position:absolute;left:0;text-align:left;margin-left:463.5pt;margin-top:7.1pt;width:78.85pt;height:8.95pt;z-index:251656192" filled="f" stroked="f">
            <v:textbox style="mso-next-textbox:#_x0000_s1316" inset="1mm,0,1mm,0">
              <w:txbxContent>
                <w:p w:rsidR="006F587F" w:rsidRDefault="009E2AA5" w:rsidP="00B115BA">
                  <w:pPr>
                    <w:spacing w:line="160" w:lineRule="exact"/>
                    <w:rPr>
                      <w:rFonts w:cs="Miriam" w:hint="cs"/>
                      <w:sz w:val="18"/>
                      <w:szCs w:val="18"/>
                      <w:rtl/>
                    </w:rPr>
                  </w:pPr>
                  <w:r>
                    <w:rPr>
                      <w:rFonts w:cs="Miriam" w:hint="cs"/>
                      <w:sz w:val="18"/>
                      <w:szCs w:val="18"/>
                      <w:rtl/>
                    </w:rPr>
                    <w:t>ביטול</w:t>
                  </w:r>
                </w:p>
              </w:txbxContent>
            </v:textbox>
          </v:shape>
        </w:pict>
      </w:r>
      <w:r>
        <w:rPr>
          <w:rStyle w:val="big-number"/>
          <w:rFonts w:cs="Miriam" w:hint="cs"/>
          <w:rtl/>
        </w:rPr>
        <w:t>4</w:t>
      </w:r>
      <w:r>
        <w:rPr>
          <w:rStyle w:val="default"/>
          <w:rFonts w:cs="FrankRuehl"/>
          <w:rtl/>
        </w:rPr>
        <w:t>.</w:t>
      </w:r>
      <w:r>
        <w:rPr>
          <w:rStyle w:val="default"/>
          <w:rFonts w:cs="FrankRuehl"/>
          <w:rtl/>
        </w:rPr>
        <w:tab/>
      </w:r>
      <w:r w:rsidR="009E2AA5">
        <w:rPr>
          <w:rStyle w:val="default"/>
          <w:rFonts w:cs="FrankRuehl" w:hint="cs"/>
          <w:rtl/>
        </w:rPr>
        <w:t>כל צו קודם בדבר הכרזת מרחבי תכנון במועצה בטל בזה, ואולם לא יהא בכך כדי לפגוע בתוקפם של הליכים שהחלו לפני כניסתו של צו זה לתוקף</w:t>
      </w:r>
      <w:r w:rsidR="00C53523">
        <w:rPr>
          <w:rStyle w:val="default"/>
          <w:rFonts w:cs="FrankRuehl" w:hint="cs"/>
          <w:rtl/>
        </w:rPr>
        <w:t>.</w:t>
      </w:r>
    </w:p>
    <w:p w:rsidR="002053AF" w:rsidRDefault="002053AF" w:rsidP="009E2AA5">
      <w:pPr>
        <w:pStyle w:val="P00"/>
        <w:spacing w:before="72"/>
        <w:ind w:left="0" w:right="1134"/>
        <w:rPr>
          <w:rStyle w:val="default"/>
          <w:rFonts w:cs="FrankRuehl" w:hint="cs"/>
          <w:rtl/>
        </w:rPr>
      </w:pPr>
      <w:bookmarkStart w:id="4" w:name="Seif3"/>
      <w:bookmarkEnd w:id="4"/>
      <w:r>
        <w:rPr>
          <w:rFonts w:cs="Miriam"/>
          <w:szCs w:val="32"/>
          <w:rtl/>
          <w:lang w:val="he-IL"/>
        </w:rPr>
        <w:pict>
          <v:shape id="_x0000_s1344" type="#_x0000_t202" style="position:absolute;left:0;text-align:left;margin-left:463.5pt;margin-top:7.1pt;width:78.85pt;height:10.95pt;z-index:251657216" filled="f" stroked="f">
            <v:textbox inset="1mm,0,1mm,0">
              <w:txbxContent>
                <w:p w:rsidR="006F587F" w:rsidRDefault="009E2AA5">
                  <w:pPr>
                    <w:spacing w:line="160" w:lineRule="exact"/>
                    <w:rPr>
                      <w:rFonts w:cs="Miriam" w:hint="cs"/>
                      <w:sz w:val="18"/>
                      <w:szCs w:val="18"/>
                      <w:rtl/>
                    </w:rPr>
                  </w:pPr>
                  <w:r>
                    <w:rPr>
                      <w:rFonts w:cs="Miriam" w:hint="cs"/>
                      <w:sz w:val="18"/>
                      <w:szCs w:val="18"/>
                      <w:rtl/>
                    </w:rPr>
                    <w:t>תחילת תוקף</w:t>
                  </w:r>
                </w:p>
              </w:txbxContent>
            </v:textbox>
          </v:shape>
        </w:pict>
      </w:r>
      <w:r>
        <w:rPr>
          <w:rStyle w:val="big-number"/>
          <w:rFonts w:cs="Miriam" w:hint="cs"/>
          <w:rtl/>
        </w:rPr>
        <w:t>5</w:t>
      </w:r>
      <w:r>
        <w:rPr>
          <w:rStyle w:val="default"/>
          <w:rFonts w:cs="FrankRuehl"/>
          <w:rtl/>
        </w:rPr>
        <w:t>.</w:t>
      </w:r>
      <w:r>
        <w:rPr>
          <w:rStyle w:val="default"/>
          <w:rFonts w:cs="FrankRuehl"/>
          <w:rtl/>
        </w:rPr>
        <w:tab/>
      </w:r>
      <w:r w:rsidR="009E2AA5">
        <w:rPr>
          <w:rStyle w:val="default"/>
          <w:rFonts w:cs="FrankRuehl" w:hint="cs"/>
          <w:rtl/>
        </w:rPr>
        <w:t>תחילתו תוקפו של צו זה ביום חתימתו</w:t>
      </w:r>
      <w:r>
        <w:rPr>
          <w:rStyle w:val="default"/>
          <w:rFonts w:cs="FrankRuehl" w:hint="cs"/>
          <w:rtl/>
        </w:rPr>
        <w:t>.</w:t>
      </w:r>
    </w:p>
    <w:p w:rsidR="002053AF" w:rsidRDefault="002053AF" w:rsidP="009E2AA5">
      <w:pPr>
        <w:pStyle w:val="P00"/>
        <w:spacing w:before="72"/>
        <w:ind w:left="0" w:right="1134"/>
        <w:rPr>
          <w:rStyle w:val="default"/>
          <w:rFonts w:cs="FrankRuehl" w:hint="cs"/>
          <w:rtl/>
        </w:rPr>
      </w:pPr>
      <w:bookmarkStart w:id="5" w:name="Seif4"/>
      <w:bookmarkEnd w:id="5"/>
      <w:r>
        <w:rPr>
          <w:rFonts w:cs="Miriam"/>
          <w:szCs w:val="32"/>
          <w:rtl/>
          <w:lang w:val="he-IL"/>
        </w:rPr>
        <w:pict>
          <v:shape id="_x0000_s1345" type="#_x0000_t202" style="position:absolute;left:0;text-align:left;margin-left:463.5pt;margin-top:7.1pt;width:78.85pt;height:8.95pt;z-index:251658240" filled="f" stroked="f">
            <v:textbox inset="1mm,0,1mm,0">
              <w:txbxContent>
                <w:p w:rsidR="006F587F" w:rsidRDefault="009E2AA5">
                  <w:pPr>
                    <w:spacing w:line="160" w:lineRule="exact"/>
                    <w:rPr>
                      <w:rFonts w:cs="Miriam" w:hint="cs"/>
                      <w:sz w:val="18"/>
                      <w:szCs w:val="18"/>
                      <w:rtl/>
                    </w:rPr>
                  </w:pPr>
                  <w:r>
                    <w:rPr>
                      <w:rFonts w:cs="Miriam" w:hint="cs"/>
                      <w:sz w:val="18"/>
                      <w:szCs w:val="18"/>
                      <w:rtl/>
                    </w:rPr>
                    <w:t>השם</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9E2AA5">
        <w:rPr>
          <w:rStyle w:val="default"/>
          <w:rFonts w:cs="FrankRuehl" w:hint="cs"/>
          <w:rtl/>
        </w:rPr>
        <w:t>צו זה ייקרא: "צו בדבר הכרזת מרחבי תכנון (מועצות מקומיות ומועצות אזוריות) (יהודה והשומרון), התשס"ח-2008</w:t>
      </w:r>
      <w:r w:rsidR="00347C38">
        <w:rPr>
          <w:rStyle w:val="default"/>
          <w:rFonts w:cs="FrankRuehl" w:hint="cs"/>
          <w:rtl/>
        </w:rPr>
        <w:t>"</w:t>
      </w:r>
      <w:r w:rsidR="009E2AA5">
        <w:rPr>
          <w:rStyle w:val="default"/>
          <w:rFonts w:cs="FrankRuehl" w:hint="cs"/>
          <w:rtl/>
        </w:rPr>
        <w:t>.</w:t>
      </w:r>
    </w:p>
    <w:p w:rsidR="0055782C" w:rsidRDefault="0055782C" w:rsidP="00911999">
      <w:pPr>
        <w:pStyle w:val="sig-0"/>
        <w:tabs>
          <w:tab w:val="clear" w:pos="4820"/>
          <w:tab w:val="center" w:pos="5670"/>
        </w:tabs>
        <w:spacing w:before="72"/>
        <w:ind w:left="0" w:right="1134"/>
        <w:rPr>
          <w:rFonts w:cs="FrankRuehl" w:hint="cs"/>
          <w:sz w:val="26"/>
          <w:rtl/>
        </w:rPr>
      </w:pPr>
    </w:p>
    <w:p w:rsidR="002053AF" w:rsidRDefault="002053AF" w:rsidP="00911999">
      <w:pPr>
        <w:pStyle w:val="sig-0"/>
        <w:tabs>
          <w:tab w:val="clear" w:pos="4820"/>
          <w:tab w:val="center" w:pos="5670"/>
        </w:tabs>
        <w:spacing w:before="72"/>
        <w:ind w:left="0" w:right="1134"/>
        <w:rPr>
          <w:rFonts w:cs="FrankRuehl" w:hint="cs"/>
          <w:sz w:val="26"/>
          <w:rtl/>
        </w:rPr>
      </w:pPr>
    </w:p>
    <w:p w:rsidR="00911999" w:rsidRDefault="009E2AA5" w:rsidP="009E2AA5">
      <w:pPr>
        <w:pStyle w:val="sig-0"/>
        <w:tabs>
          <w:tab w:val="clear" w:pos="4820"/>
          <w:tab w:val="center" w:pos="5670"/>
        </w:tabs>
        <w:spacing w:before="72"/>
        <w:ind w:left="0" w:right="1134"/>
        <w:rPr>
          <w:rFonts w:cs="FrankRuehl" w:hint="cs"/>
          <w:sz w:val="26"/>
          <w:rtl/>
        </w:rPr>
      </w:pPr>
      <w:r>
        <w:rPr>
          <w:rFonts w:cs="FrankRuehl" w:hint="cs"/>
          <w:sz w:val="26"/>
          <w:rtl/>
        </w:rPr>
        <w:t>י' בניסן התשס"ח (15 באפריל 2008</w:t>
      </w:r>
      <w:r w:rsidR="00911999">
        <w:rPr>
          <w:rFonts w:cs="FrankRuehl" w:hint="cs"/>
          <w:sz w:val="26"/>
          <w:rtl/>
        </w:rPr>
        <w:t>)</w:t>
      </w:r>
      <w:r w:rsidR="00911999">
        <w:rPr>
          <w:rFonts w:cs="FrankRuehl" w:hint="cs"/>
          <w:sz w:val="26"/>
          <w:rtl/>
        </w:rPr>
        <w:tab/>
      </w:r>
      <w:r>
        <w:rPr>
          <w:rFonts w:cs="FrankRuehl" w:hint="cs"/>
          <w:sz w:val="26"/>
          <w:rtl/>
        </w:rPr>
        <w:t>יואב (פולי) מרדכי</w:t>
      </w:r>
      <w:r w:rsidR="00911999">
        <w:rPr>
          <w:rFonts w:cs="FrankRuehl" w:hint="cs"/>
          <w:sz w:val="26"/>
          <w:rtl/>
        </w:rPr>
        <w:t xml:space="preserve">, </w:t>
      </w:r>
      <w:r>
        <w:rPr>
          <w:rFonts w:cs="FrankRuehl" w:hint="cs"/>
          <w:sz w:val="26"/>
          <w:rtl/>
        </w:rPr>
        <w:t>תא"ל</w:t>
      </w:r>
    </w:p>
    <w:p w:rsidR="00857B7D" w:rsidRDefault="00911999" w:rsidP="009E2AA5">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9E2AA5">
        <w:rPr>
          <w:rFonts w:cs="FrankRuehl" w:hint="cs"/>
          <w:sz w:val="22"/>
          <w:szCs w:val="22"/>
          <w:rtl/>
        </w:rPr>
        <w:t>ראש המינהל האזרחי</w:t>
      </w:r>
    </w:p>
    <w:p w:rsidR="00911999" w:rsidRPr="00911999" w:rsidRDefault="00857B7D" w:rsidP="009E2AA5">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 xml:space="preserve">אזור </w:t>
      </w:r>
      <w:r w:rsidR="005B2C2E">
        <w:rPr>
          <w:rFonts w:cs="FrankRuehl" w:hint="cs"/>
          <w:sz w:val="22"/>
          <w:szCs w:val="22"/>
          <w:rtl/>
        </w:rPr>
        <w:t>יהודה והשומרון</w:t>
      </w:r>
    </w:p>
    <w:p w:rsidR="00BE7015" w:rsidRDefault="00BE7015" w:rsidP="00911999">
      <w:pPr>
        <w:pStyle w:val="sig-0"/>
        <w:tabs>
          <w:tab w:val="clear" w:pos="4820"/>
          <w:tab w:val="center" w:pos="5670"/>
        </w:tabs>
        <w:spacing w:before="72"/>
        <w:ind w:left="0" w:right="1134"/>
        <w:rPr>
          <w:rFonts w:cs="FrankRuehl" w:hint="cs"/>
          <w:sz w:val="26"/>
          <w:rtl/>
        </w:rPr>
      </w:pPr>
    </w:p>
    <w:p w:rsidR="00253756" w:rsidRDefault="00253756" w:rsidP="00911999">
      <w:pPr>
        <w:pStyle w:val="sig-0"/>
        <w:tabs>
          <w:tab w:val="clear" w:pos="4820"/>
          <w:tab w:val="center" w:pos="5670"/>
        </w:tabs>
        <w:spacing w:before="72"/>
        <w:ind w:left="0" w:right="1134"/>
        <w:rPr>
          <w:rFonts w:cs="FrankRuehl" w:hint="cs"/>
          <w:sz w:val="26"/>
          <w:rtl/>
        </w:rPr>
      </w:pPr>
    </w:p>
    <w:p w:rsidR="00304143" w:rsidRDefault="00304143" w:rsidP="00911999">
      <w:pPr>
        <w:pStyle w:val="sig-0"/>
        <w:spacing w:before="72"/>
        <w:ind w:left="0" w:right="1134"/>
        <w:rPr>
          <w:rFonts w:cs="FrankRuehl"/>
          <w:sz w:val="26"/>
          <w:rtl/>
        </w:rPr>
      </w:pPr>
    </w:p>
    <w:p w:rsidR="00304143" w:rsidRDefault="00304143" w:rsidP="00911999">
      <w:pPr>
        <w:pStyle w:val="sig-0"/>
        <w:spacing w:before="72"/>
        <w:ind w:left="0" w:right="1134"/>
        <w:rPr>
          <w:rFonts w:cs="FrankRuehl"/>
          <w:sz w:val="26"/>
          <w:rtl/>
        </w:rPr>
      </w:pPr>
    </w:p>
    <w:p w:rsidR="00304143" w:rsidRDefault="00304143" w:rsidP="00304143">
      <w:pPr>
        <w:pStyle w:val="sig-0"/>
        <w:spacing w:before="72"/>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2053AF" w:rsidRPr="00304143" w:rsidRDefault="002053AF" w:rsidP="00304143">
      <w:pPr>
        <w:pStyle w:val="sig-0"/>
        <w:spacing w:before="72"/>
        <w:ind w:left="0" w:right="1134"/>
        <w:jc w:val="center"/>
        <w:rPr>
          <w:rFonts w:cs="David"/>
          <w:color w:val="0000FF"/>
          <w:sz w:val="26"/>
          <w:szCs w:val="24"/>
          <w:u w:val="single"/>
          <w:rtl/>
        </w:rPr>
      </w:pPr>
    </w:p>
    <w:sectPr w:rsidR="002053AF" w:rsidRPr="0030414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7B39" w:rsidRDefault="000C7B39">
      <w:r>
        <w:separator/>
      </w:r>
    </w:p>
  </w:endnote>
  <w:endnote w:type="continuationSeparator" w:id="0">
    <w:p w:rsidR="000C7B39" w:rsidRDefault="000C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4143">
      <w:rPr>
        <w:rFonts w:cs="TopType Jerushalmi"/>
        <w:noProof/>
        <w:color w:val="000000"/>
        <w:sz w:val="14"/>
        <w:szCs w:val="14"/>
      </w:rPr>
      <w:t>Z:\000-law\yael\2012\2012-09-11\tav\666_035.doc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04143">
      <w:rPr>
        <w:rFonts w:hAnsi="FrankRuehl" w:cs="FrankRuehl"/>
        <w:noProof/>
        <w:sz w:val="24"/>
        <w:szCs w:val="24"/>
        <w:rtl/>
      </w:rPr>
      <w:t>3</w:t>
    </w:r>
    <w:r>
      <w:rPr>
        <w:rFonts w:hAnsi="FrankRuehl" w:cs="FrankRuehl"/>
        <w:sz w:val="24"/>
        <w:szCs w:val="24"/>
        <w:rtl/>
      </w:rPr>
      <w:fldChar w:fldCharType="end"/>
    </w:r>
  </w:p>
  <w:p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4143">
      <w:rPr>
        <w:rFonts w:cs="TopType Jerushalmi"/>
        <w:noProof/>
        <w:color w:val="000000"/>
        <w:sz w:val="14"/>
        <w:szCs w:val="14"/>
      </w:rPr>
      <w:t>Z:\000-law\yael\2012\2012-09-11\tav\666_035.doc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7B39" w:rsidRDefault="000C7B39">
      <w:pPr>
        <w:pStyle w:val="a5"/>
        <w:spacing w:before="60"/>
        <w:ind w:right="1134"/>
        <w:rPr>
          <w:rFonts w:cs="David"/>
          <w:sz w:val="24"/>
          <w:szCs w:val="24"/>
        </w:rPr>
      </w:pPr>
      <w:r>
        <w:separator/>
      </w:r>
    </w:p>
  </w:footnote>
  <w:footnote w:type="continuationSeparator" w:id="0">
    <w:p w:rsidR="000C7B39" w:rsidRDefault="000C7B39">
      <w:pPr>
        <w:spacing w:before="60"/>
        <w:ind w:right="1134"/>
      </w:pPr>
      <w:r>
        <w:separator/>
      </w:r>
    </w:p>
  </w:footnote>
  <w:footnote w:id="1">
    <w:p w:rsidR="006F587F" w:rsidRPr="00366DD7" w:rsidRDefault="006F587F" w:rsidP="00BE70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960CD6">
        <w:rPr>
          <w:rFonts w:cs="FrankRuehl" w:hint="cs"/>
          <w:rtl/>
        </w:rPr>
        <w:t xml:space="preserve">פורסם </w:t>
      </w:r>
      <w:hyperlink r:id="rId1" w:history="1">
        <w:r w:rsidR="00960CD6" w:rsidRPr="00960CD6">
          <w:rPr>
            <w:rStyle w:val="Hyperlink"/>
            <w:rFonts w:cs="FrankRuehl" w:hint="cs"/>
            <w:rtl/>
          </w:rPr>
          <w:t xml:space="preserve">קובץ המנשרים מס' </w:t>
        </w:r>
        <w:r w:rsidR="00BE7015">
          <w:rPr>
            <w:rStyle w:val="Hyperlink"/>
            <w:rFonts w:cs="FrankRuehl" w:hint="cs"/>
            <w:rtl/>
          </w:rPr>
          <w:t>224</w:t>
        </w:r>
      </w:hyperlink>
      <w:r w:rsidR="00960CD6">
        <w:rPr>
          <w:rFonts w:cs="FrankRuehl" w:hint="cs"/>
          <w:rtl/>
        </w:rPr>
        <w:t xml:space="preserve"> </w:t>
      </w:r>
      <w:r w:rsidR="00BE7015">
        <w:rPr>
          <w:rFonts w:cs="FrankRuehl" w:hint="cs"/>
          <w:rtl/>
        </w:rPr>
        <w:t>מחודש מאי 2008</w:t>
      </w:r>
      <w:r w:rsidR="00960CD6">
        <w:rPr>
          <w:rFonts w:cs="FrankRuehl" w:hint="cs"/>
          <w:rtl/>
        </w:rPr>
        <w:t xml:space="preserve"> עמ' </w:t>
      </w:r>
      <w:r w:rsidR="00BE7015">
        <w:rPr>
          <w:rFonts w:cs="FrankRuehl" w:hint="cs"/>
          <w:rtl/>
        </w:rPr>
        <w:t>5220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6F587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87F" w:rsidRDefault="00BE7015" w:rsidP="00C5352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הכרזת מרחבי תכנון (מועצות מקומיות ומועצות אזוריות) (יהודה והשומרון), תשס"ח-2008</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0025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70A3B"/>
    <w:rsid w:val="000752E2"/>
    <w:rsid w:val="000829DB"/>
    <w:rsid w:val="00084E0A"/>
    <w:rsid w:val="000B2E3C"/>
    <w:rsid w:val="000C7B39"/>
    <w:rsid w:val="000D4908"/>
    <w:rsid w:val="000D661F"/>
    <w:rsid w:val="00110392"/>
    <w:rsid w:val="00120B4B"/>
    <w:rsid w:val="001217CA"/>
    <w:rsid w:val="001416DA"/>
    <w:rsid w:val="001566AF"/>
    <w:rsid w:val="00164CE3"/>
    <w:rsid w:val="00171444"/>
    <w:rsid w:val="001956C4"/>
    <w:rsid w:val="001966AA"/>
    <w:rsid w:val="001A17DA"/>
    <w:rsid w:val="001D326B"/>
    <w:rsid w:val="001E3CA0"/>
    <w:rsid w:val="001F398C"/>
    <w:rsid w:val="002053AF"/>
    <w:rsid w:val="00225D12"/>
    <w:rsid w:val="002311DB"/>
    <w:rsid w:val="00253756"/>
    <w:rsid w:val="00253D46"/>
    <w:rsid w:val="00264AFB"/>
    <w:rsid w:val="0027455F"/>
    <w:rsid w:val="00285062"/>
    <w:rsid w:val="002E532F"/>
    <w:rsid w:val="002F2A28"/>
    <w:rsid w:val="00304143"/>
    <w:rsid w:val="00347C38"/>
    <w:rsid w:val="00366DD7"/>
    <w:rsid w:val="003D5A87"/>
    <w:rsid w:val="00402B42"/>
    <w:rsid w:val="0043008A"/>
    <w:rsid w:val="0046276C"/>
    <w:rsid w:val="004B14A4"/>
    <w:rsid w:val="004D1872"/>
    <w:rsid w:val="0055782C"/>
    <w:rsid w:val="005B2C2E"/>
    <w:rsid w:val="005E626F"/>
    <w:rsid w:val="00676224"/>
    <w:rsid w:val="006E6B41"/>
    <w:rsid w:val="006F587F"/>
    <w:rsid w:val="007315F5"/>
    <w:rsid w:val="0073717C"/>
    <w:rsid w:val="00771B15"/>
    <w:rsid w:val="007B2BCC"/>
    <w:rsid w:val="008344B0"/>
    <w:rsid w:val="00857B7D"/>
    <w:rsid w:val="0089610D"/>
    <w:rsid w:val="00896624"/>
    <w:rsid w:val="008B677C"/>
    <w:rsid w:val="008C4B4A"/>
    <w:rsid w:val="00911999"/>
    <w:rsid w:val="009377E0"/>
    <w:rsid w:val="00960CD6"/>
    <w:rsid w:val="009B4BA9"/>
    <w:rsid w:val="009E2AA5"/>
    <w:rsid w:val="00A46F6E"/>
    <w:rsid w:val="00A55943"/>
    <w:rsid w:val="00A757D3"/>
    <w:rsid w:val="00A825C8"/>
    <w:rsid w:val="00AE4EAA"/>
    <w:rsid w:val="00B115BA"/>
    <w:rsid w:val="00B40BA7"/>
    <w:rsid w:val="00B40E19"/>
    <w:rsid w:val="00B831A9"/>
    <w:rsid w:val="00B91D00"/>
    <w:rsid w:val="00BA1195"/>
    <w:rsid w:val="00BA64D5"/>
    <w:rsid w:val="00BB5224"/>
    <w:rsid w:val="00BB717E"/>
    <w:rsid w:val="00BD65CB"/>
    <w:rsid w:val="00BE7015"/>
    <w:rsid w:val="00C3798C"/>
    <w:rsid w:val="00C53523"/>
    <w:rsid w:val="00C56AD1"/>
    <w:rsid w:val="00C67430"/>
    <w:rsid w:val="00C71695"/>
    <w:rsid w:val="00C82F1D"/>
    <w:rsid w:val="00C953B9"/>
    <w:rsid w:val="00CC0D05"/>
    <w:rsid w:val="00CC1C98"/>
    <w:rsid w:val="00CE4364"/>
    <w:rsid w:val="00CE6730"/>
    <w:rsid w:val="00CF5A40"/>
    <w:rsid w:val="00D164BE"/>
    <w:rsid w:val="00E34AA7"/>
    <w:rsid w:val="00E36A59"/>
    <w:rsid w:val="00E50E33"/>
    <w:rsid w:val="00EF5F4F"/>
    <w:rsid w:val="00F43ADB"/>
    <w:rsid w:val="00F84585"/>
    <w:rsid w:val="00FA4A32"/>
    <w:rsid w:val="00FA5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21D8811-658E-45E7-8716-092B1AC5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2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2820</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3308</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Seif1</vt:lpwstr>
      </vt:variant>
      <vt:variant>
        <vt:i4>1769595</vt:i4>
      </vt:variant>
      <vt:variant>
        <vt:i4>0</vt:i4>
      </vt:variant>
      <vt:variant>
        <vt:i4>0</vt:i4>
      </vt:variant>
      <vt:variant>
        <vt:i4>5</vt:i4>
      </vt:variant>
      <vt:variant>
        <vt:lpwstr>http://www.nevo.co.il/Law_word/law70/zava-0224.pdf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הכרזת מרחבי תכנון (מועצות מקומיות ומועצות אזוריות) (יהודה והשומרון), תשס"ח-2008</vt:lpwstr>
  </property>
  <property fmtid="{D5CDD505-2E9C-101B-9397-08002B2CF9AE}" pid="4" name="LAWNUMBER">
    <vt:lpwstr>0035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