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933" w:rsidRDefault="00155933">
      <w:pPr>
        <w:pStyle w:val="big-header"/>
        <w:ind w:left="0" w:right="1134"/>
        <w:rPr>
          <w:rFonts w:cs="FrankRuehl" w:hint="cs"/>
          <w:sz w:val="32"/>
          <w:rtl/>
        </w:rPr>
      </w:pPr>
      <w:r>
        <w:rPr>
          <w:rFonts w:cs="FrankRuehl" w:hint="cs"/>
          <w:sz w:val="32"/>
          <w:rtl/>
        </w:rPr>
        <w:t>יהודה והשומרון</w:t>
      </w:r>
    </w:p>
    <w:p w:rsidR="00155933" w:rsidRDefault="00155933">
      <w:pPr>
        <w:pStyle w:val="big-header"/>
        <w:ind w:left="0" w:right="1134"/>
        <w:rPr>
          <w:rFonts w:cs="FrankRuehl" w:hint="cs"/>
          <w:sz w:val="32"/>
          <w:rtl/>
        </w:rPr>
      </w:pPr>
      <w:r>
        <w:rPr>
          <w:rFonts w:cs="FrankRuehl" w:hint="cs"/>
          <w:sz w:val="32"/>
          <w:rtl/>
        </w:rPr>
        <w:t>צו בדבר העברת טובין (מס' 1252), תשמ"ח-1988</w:t>
      </w:r>
    </w:p>
    <w:p w:rsidR="00155933" w:rsidRDefault="0015593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1 </w:t>
            </w:r>
          </w:p>
        </w:tc>
        <w:tc>
          <w:tcPr>
            <w:tcW w:w="5669" w:type="dxa"/>
          </w:tcPr>
          <w:p w:rsidR="000D6A70" w:rsidRPr="000D6A70" w:rsidRDefault="000D6A70" w:rsidP="000D6A70">
            <w:pPr>
              <w:rPr>
                <w:rFonts w:cs="Frankruhel" w:hint="cs"/>
                <w:rtl/>
              </w:rPr>
            </w:pPr>
            <w:r>
              <w:rPr>
                <w:rtl/>
              </w:rPr>
              <w:t>הגדרות</w:t>
            </w:r>
          </w:p>
        </w:tc>
        <w:tc>
          <w:tcPr>
            <w:tcW w:w="567" w:type="dxa"/>
          </w:tcPr>
          <w:p w:rsidR="000D6A70" w:rsidRPr="000D6A70" w:rsidRDefault="000D6A70" w:rsidP="000D6A70">
            <w:pPr>
              <w:rPr>
                <w:rStyle w:val="Hyperlink"/>
                <w:rFonts w:hint="cs"/>
                <w:rtl/>
              </w:rPr>
            </w:pPr>
            <w:hyperlink w:anchor="Seif1" w:tooltip="הגדרות"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2 </w:t>
            </w:r>
          </w:p>
        </w:tc>
        <w:tc>
          <w:tcPr>
            <w:tcW w:w="5669" w:type="dxa"/>
          </w:tcPr>
          <w:p w:rsidR="000D6A70" w:rsidRPr="000D6A70" w:rsidRDefault="000D6A70" w:rsidP="000D6A70">
            <w:pPr>
              <w:rPr>
                <w:rFonts w:cs="Frankruhel" w:hint="cs"/>
                <w:rtl/>
              </w:rPr>
            </w:pPr>
            <w:r>
              <w:rPr>
                <w:rtl/>
              </w:rPr>
              <w:t>התרת הבאת טובין והוצאתם</w:t>
            </w:r>
          </w:p>
        </w:tc>
        <w:tc>
          <w:tcPr>
            <w:tcW w:w="567" w:type="dxa"/>
          </w:tcPr>
          <w:p w:rsidR="000D6A70" w:rsidRPr="000D6A70" w:rsidRDefault="000D6A70" w:rsidP="000D6A70">
            <w:pPr>
              <w:rPr>
                <w:rStyle w:val="Hyperlink"/>
                <w:rFonts w:hint="cs"/>
                <w:rtl/>
              </w:rPr>
            </w:pPr>
            <w:hyperlink w:anchor="Seif2" w:tooltip="התרת הבאת טובין והוצאתם"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2א </w:t>
            </w:r>
          </w:p>
        </w:tc>
        <w:tc>
          <w:tcPr>
            <w:tcW w:w="5669" w:type="dxa"/>
          </w:tcPr>
          <w:p w:rsidR="000D6A70" w:rsidRPr="000D6A70" w:rsidRDefault="000D6A70" w:rsidP="000D6A70">
            <w:pPr>
              <w:rPr>
                <w:rFonts w:cs="Frankruhel" w:hint="cs"/>
                <w:rtl/>
              </w:rPr>
            </w:pPr>
            <w:r>
              <w:rPr>
                <w:rtl/>
              </w:rPr>
              <w:t>הובלת טובין באזור תיקון מס' 1</w:t>
            </w:r>
          </w:p>
        </w:tc>
        <w:tc>
          <w:tcPr>
            <w:tcW w:w="567" w:type="dxa"/>
          </w:tcPr>
          <w:p w:rsidR="000D6A70" w:rsidRPr="000D6A70" w:rsidRDefault="000D6A70" w:rsidP="000D6A70">
            <w:pPr>
              <w:rPr>
                <w:rStyle w:val="Hyperlink"/>
                <w:rFonts w:hint="cs"/>
                <w:rtl/>
              </w:rPr>
            </w:pPr>
            <w:hyperlink w:anchor="Seif11" w:tooltip="הובלת טובין באזור תיקון מס 1"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2</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3 </w:t>
            </w:r>
          </w:p>
        </w:tc>
        <w:tc>
          <w:tcPr>
            <w:tcW w:w="5669" w:type="dxa"/>
          </w:tcPr>
          <w:p w:rsidR="000D6A70" w:rsidRPr="000D6A70" w:rsidRDefault="000D6A70" w:rsidP="000D6A70">
            <w:pPr>
              <w:rPr>
                <w:rFonts w:cs="Frankruhel" w:hint="cs"/>
                <w:rtl/>
              </w:rPr>
            </w:pPr>
            <w:r>
              <w:rPr>
                <w:rtl/>
              </w:rPr>
              <w:t>תנאי הבאת טובין או הוצאתם</w:t>
            </w:r>
          </w:p>
        </w:tc>
        <w:tc>
          <w:tcPr>
            <w:tcW w:w="567" w:type="dxa"/>
          </w:tcPr>
          <w:p w:rsidR="000D6A70" w:rsidRPr="000D6A70" w:rsidRDefault="000D6A70" w:rsidP="000D6A70">
            <w:pPr>
              <w:rPr>
                <w:rStyle w:val="Hyperlink"/>
                <w:rFonts w:hint="cs"/>
                <w:rtl/>
              </w:rPr>
            </w:pPr>
            <w:hyperlink w:anchor="Seif3" w:tooltip="תנאי הבאת טובין או הוצאתם"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3א </w:t>
            </w:r>
          </w:p>
        </w:tc>
        <w:tc>
          <w:tcPr>
            <w:tcW w:w="5669" w:type="dxa"/>
          </w:tcPr>
          <w:p w:rsidR="000D6A70" w:rsidRPr="000D6A70" w:rsidRDefault="000D6A70" w:rsidP="000D6A70">
            <w:pPr>
              <w:rPr>
                <w:rFonts w:cs="Frankruhel" w:hint="cs"/>
                <w:rtl/>
              </w:rPr>
            </w:pPr>
            <w:r>
              <w:rPr>
                <w:rtl/>
              </w:rPr>
              <w:t>תנאי הבאת טובין או הוצאתם תיקון מס' 2</w:t>
            </w:r>
          </w:p>
        </w:tc>
        <w:tc>
          <w:tcPr>
            <w:tcW w:w="567" w:type="dxa"/>
          </w:tcPr>
          <w:p w:rsidR="000D6A70" w:rsidRPr="000D6A70" w:rsidRDefault="000D6A70" w:rsidP="000D6A70">
            <w:pPr>
              <w:rPr>
                <w:rStyle w:val="Hyperlink"/>
                <w:rFonts w:hint="cs"/>
                <w:rtl/>
              </w:rPr>
            </w:pPr>
            <w:hyperlink w:anchor="Seif12" w:tooltip="תנאי הבאת טובין או הוצאתם תיקון מס 2"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2</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4 </w:t>
            </w:r>
          </w:p>
        </w:tc>
        <w:tc>
          <w:tcPr>
            <w:tcW w:w="5669" w:type="dxa"/>
          </w:tcPr>
          <w:p w:rsidR="000D6A70" w:rsidRPr="000D6A70" w:rsidRDefault="000D6A70" w:rsidP="000D6A70">
            <w:pPr>
              <w:rPr>
                <w:rFonts w:cs="Frankruhel" w:hint="cs"/>
                <w:rtl/>
              </w:rPr>
            </w:pPr>
            <w:r>
              <w:rPr>
                <w:rtl/>
              </w:rPr>
              <w:t>כופר</w:t>
            </w:r>
          </w:p>
        </w:tc>
        <w:tc>
          <w:tcPr>
            <w:tcW w:w="567" w:type="dxa"/>
          </w:tcPr>
          <w:p w:rsidR="000D6A70" w:rsidRPr="000D6A70" w:rsidRDefault="000D6A70" w:rsidP="000D6A70">
            <w:pPr>
              <w:rPr>
                <w:rStyle w:val="Hyperlink"/>
                <w:rFonts w:hint="cs"/>
                <w:rtl/>
              </w:rPr>
            </w:pPr>
            <w:hyperlink w:anchor="Seif4" w:tooltip="כופר"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5 </w:t>
            </w:r>
          </w:p>
        </w:tc>
        <w:tc>
          <w:tcPr>
            <w:tcW w:w="5669" w:type="dxa"/>
          </w:tcPr>
          <w:p w:rsidR="000D6A70" w:rsidRPr="000D6A70" w:rsidRDefault="000D6A70" w:rsidP="000D6A70">
            <w:pPr>
              <w:rPr>
                <w:rFonts w:cs="Frankruhel" w:hint="cs"/>
                <w:rtl/>
              </w:rPr>
            </w:pPr>
            <w:r>
              <w:rPr>
                <w:rtl/>
              </w:rPr>
              <w:t>עבירות</w:t>
            </w:r>
          </w:p>
        </w:tc>
        <w:tc>
          <w:tcPr>
            <w:tcW w:w="567" w:type="dxa"/>
          </w:tcPr>
          <w:p w:rsidR="000D6A70" w:rsidRPr="000D6A70" w:rsidRDefault="000D6A70" w:rsidP="000D6A70">
            <w:pPr>
              <w:rPr>
                <w:rStyle w:val="Hyperlink"/>
                <w:rFonts w:hint="cs"/>
                <w:rtl/>
              </w:rPr>
            </w:pPr>
            <w:hyperlink w:anchor="Seif5" w:tooltip="עבירות"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6 </w:t>
            </w:r>
          </w:p>
        </w:tc>
        <w:tc>
          <w:tcPr>
            <w:tcW w:w="5669" w:type="dxa"/>
          </w:tcPr>
          <w:p w:rsidR="000D6A70" w:rsidRPr="000D6A70" w:rsidRDefault="000D6A70" w:rsidP="000D6A70">
            <w:pPr>
              <w:rPr>
                <w:rFonts w:cs="Frankruhel" w:hint="cs"/>
                <w:rtl/>
              </w:rPr>
            </w:pPr>
            <w:r>
              <w:rPr>
                <w:rtl/>
              </w:rPr>
              <w:t>תיקון צוים</w:t>
            </w:r>
          </w:p>
        </w:tc>
        <w:tc>
          <w:tcPr>
            <w:tcW w:w="567" w:type="dxa"/>
          </w:tcPr>
          <w:p w:rsidR="000D6A70" w:rsidRPr="000D6A70" w:rsidRDefault="000D6A70" w:rsidP="000D6A70">
            <w:pPr>
              <w:rPr>
                <w:rStyle w:val="Hyperlink"/>
                <w:rFonts w:hint="cs"/>
                <w:rtl/>
              </w:rPr>
            </w:pPr>
            <w:hyperlink w:anchor="Seif6" w:tooltip="תיקון צוים"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7 </w:t>
            </w:r>
          </w:p>
        </w:tc>
        <w:tc>
          <w:tcPr>
            <w:tcW w:w="5669" w:type="dxa"/>
          </w:tcPr>
          <w:p w:rsidR="000D6A70" w:rsidRPr="000D6A70" w:rsidRDefault="000D6A70" w:rsidP="000D6A70">
            <w:pPr>
              <w:rPr>
                <w:rFonts w:cs="Frankruhel" w:hint="cs"/>
                <w:rtl/>
              </w:rPr>
            </w:pPr>
            <w:r>
              <w:rPr>
                <w:rtl/>
              </w:rPr>
              <w:t>הוראות</w:t>
            </w:r>
          </w:p>
        </w:tc>
        <w:tc>
          <w:tcPr>
            <w:tcW w:w="567" w:type="dxa"/>
          </w:tcPr>
          <w:p w:rsidR="000D6A70" w:rsidRPr="000D6A70" w:rsidRDefault="000D6A70" w:rsidP="000D6A70">
            <w:pPr>
              <w:rPr>
                <w:rStyle w:val="Hyperlink"/>
                <w:rFonts w:hint="cs"/>
                <w:rtl/>
              </w:rPr>
            </w:pPr>
            <w:hyperlink w:anchor="Seif7" w:tooltip="הוראות"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8 </w:t>
            </w:r>
          </w:p>
        </w:tc>
        <w:tc>
          <w:tcPr>
            <w:tcW w:w="5669" w:type="dxa"/>
          </w:tcPr>
          <w:p w:rsidR="000D6A70" w:rsidRPr="000D6A70" w:rsidRDefault="000D6A70" w:rsidP="000D6A70">
            <w:pPr>
              <w:rPr>
                <w:rFonts w:cs="Frankruhel" w:hint="cs"/>
                <w:rtl/>
              </w:rPr>
            </w:pPr>
            <w:r>
              <w:rPr>
                <w:rtl/>
              </w:rPr>
              <w:t>ביטול</w:t>
            </w:r>
          </w:p>
        </w:tc>
        <w:tc>
          <w:tcPr>
            <w:tcW w:w="567" w:type="dxa"/>
          </w:tcPr>
          <w:p w:rsidR="000D6A70" w:rsidRPr="000D6A70" w:rsidRDefault="000D6A70" w:rsidP="000D6A70">
            <w:pPr>
              <w:rPr>
                <w:rStyle w:val="Hyperlink"/>
                <w:rFonts w:hint="cs"/>
                <w:rtl/>
              </w:rPr>
            </w:pPr>
            <w:hyperlink w:anchor="Seif8" w:tooltip="ביטול"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9 </w:t>
            </w:r>
          </w:p>
        </w:tc>
        <w:tc>
          <w:tcPr>
            <w:tcW w:w="5669" w:type="dxa"/>
          </w:tcPr>
          <w:p w:rsidR="000D6A70" w:rsidRPr="000D6A70" w:rsidRDefault="000D6A70" w:rsidP="000D6A70">
            <w:pPr>
              <w:rPr>
                <w:rFonts w:cs="Frankruhel" w:hint="cs"/>
                <w:rtl/>
              </w:rPr>
            </w:pPr>
            <w:r>
              <w:rPr>
                <w:rtl/>
              </w:rPr>
              <w:t>תחילת תוקף</w:t>
            </w:r>
          </w:p>
        </w:tc>
        <w:tc>
          <w:tcPr>
            <w:tcW w:w="567" w:type="dxa"/>
          </w:tcPr>
          <w:p w:rsidR="000D6A70" w:rsidRPr="000D6A70" w:rsidRDefault="000D6A70" w:rsidP="000D6A70">
            <w:pPr>
              <w:rPr>
                <w:rStyle w:val="Hyperlink"/>
                <w:rFonts w:hint="cs"/>
                <w:rtl/>
              </w:rPr>
            </w:pPr>
            <w:hyperlink w:anchor="Seif9" w:tooltip="תחילת תוקף"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0D6A70" w:rsidRPr="000D6A70">
        <w:tblPrEx>
          <w:tblCellMar>
            <w:top w:w="0" w:type="dxa"/>
            <w:bottom w:w="0" w:type="dxa"/>
          </w:tblCellMar>
        </w:tblPrEx>
        <w:tc>
          <w:tcPr>
            <w:tcW w:w="1247" w:type="dxa"/>
          </w:tcPr>
          <w:p w:rsidR="000D6A70" w:rsidRPr="000D6A70" w:rsidRDefault="000D6A70" w:rsidP="000D6A70">
            <w:pPr>
              <w:rPr>
                <w:rFonts w:cs="Frankruhel" w:hint="cs"/>
                <w:rtl/>
              </w:rPr>
            </w:pPr>
            <w:r>
              <w:rPr>
                <w:rtl/>
              </w:rPr>
              <w:t xml:space="preserve">סעיף 10 </w:t>
            </w:r>
          </w:p>
        </w:tc>
        <w:tc>
          <w:tcPr>
            <w:tcW w:w="5669" w:type="dxa"/>
          </w:tcPr>
          <w:p w:rsidR="000D6A70" w:rsidRPr="000D6A70" w:rsidRDefault="000D6A70" w:rsidP="000D6A70">
            <w:pPr>
              <w:rPr>
                <w:rFonts w:cs="Frankruhel" w:hint="cs"/>
                <w:rtl/>
              </w:rPr>
            </w:pPr>
            <w:r>
              <w:rPr>
                <w:rtl/>
              </w:rPr>
              <w:t>השם</w:t>
            </w:r>
          </w:p>
        </w:tc>
        <w:tc>
          <w:tcPr>
            <w:tcW w:w="567" w:type="dxa"/>
          </w:tcPr>
          <w:p w:rsidR="000D6A70" w:rsidRPr="000D6A70" w:rsidRDefault="000D6A70" w:rsidP="000D6A70">
            <w:pPr>
              <w:rPr>
                <w:rStyle w:val="Hyperlink"/>
                <w:rFonts w:hint="cs"/>
                <w:rtl/>
              </w:rPr>
            </w:pPr>
            <w:hyperlink w:anchor="Seif10" w:tooltip="השם" w:history="1">
              <w:r w:rsidRPr="000D6A70">
                <w:rPr>
                  <w:rStyle w:val="Hyperlink"/>
                </w:rPr>
                <w:t>Go</w:t>
              </w:r>
            </w:hyperlink>
          </w:p>
        </w:tc>
        <w:tc>
          <w:tcPr>
            <w:tcW w:w="850" w:type="dxa"/>
          </w:tcPr>
          <w:p w:rsidR="000D6A70" w:rsidRPr="000D6A70" w:rsidRDefault="000D6A70" w:rsidP="000D6A7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bl>
    <w:p w:rsidR="00155933" w:rsidRDefault="00155933">
      <w:pPr>
        <w:pStyle w:val="big-header"/>
        <w:ind w:left="0" w:right="1134"/>
        <w:rPr>
          <w:rFonts w:cs="FrankRuehl" w:hint="cs"/>
          <w:sz w:val="32"/>
          <w:rtl/>
        </w:rPr>
      </w:pPr>
    </w:p>
    <w:p w:rsidR="00155933" w:rsidRDefault="00155933">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155933" w:rsidRDefault="00155933">
      <w:pPr>
        <w:pStyle w:val="big-header"/>
        <w:ind w:left="0" w:right="1134"/>
        <w:rPr>
          <w:rStyle w:val="default"/>
          <w:rFonts w:hint="cs"/>
          <w:sz w:val="22"/>
          <w:szCs w:val="22"/>
          <w:rtl/>
        </w:rPr>
      </w:pPr>
      <w:r>
        <w:rPr>
          <w:rFonts w:cs="FrankRuehl" w:hint="cs"/>
          <w:sz w:val="32"/>
          <w:rtl/>
        </w:rPr>
        <w:t>צו בדבר העברת טובין (מס' 1252), תשמ"ח-1988</w:t>
      </w:r>
      <w:r>
        <w:rPr>
          <w:rStyle w:val="default"/>
          <w:sz w:val="22"/>
          <w:szCs w:val="22"/>
          <w:rtl/>
        </w:rPr>
        <w:footnoteReference w:customMarkFollows="1" w:id="1"/>
        <w:t>*</w:t>
      </w:r>
    </w:p>
    <w:p w:rsidR="00155933" w:rsidRDefault="00155933">
      <w:pPr>
        <w:pStyle w:val="P00"/>
        <w:spacing w:before="72"/>
        <w:ind w:left="0" w:right="1134"/>
        <w:rPr>
          <w:rStyle w:val="default"/>
          <w:rFonts w:cs="FrankRuehl" w:hint="cs"/>
          <w:rtl/>
        </w:rPr>
      </w:pPr>
      <w:r>
        <w:rPr>
          <w:rStyle w:val="default"/>
          <w:rFonts w:cs="FrankRuehl" w:hint="cs"/>
          <w:rtl/>
        </w:rPr>
        <w:tab/>
        <w:t>בתוקף סמכותי כמפקד כוחות צה"ל באזור, הנני מצווה בזאת לאמור:</w:t>
      </w:r>
    </w:p>
    <w:p w:rsidR="00155933" w:rsidRDefault="00155933">
      <w:pPr>
        <w:pStyle w:val="P00"/>
        <w:spacing w:before="72"/>
        <w:ind w:left="0" w:right="1134"/>
        <w:rPr>
          <w:rStyle w:val="default"/>
          <w:rFonts w:cs="FrankRuehl" w:hint="cs"/>
          <w:rtl/>
        </w:rPr>
      </w:pPr>
      <w:bookmarkStart w:id="0" w:name="Seif1"/>
      <w:bookmarkEnd w:id="0"/>
      <w:r>
        <w:rPr>
          <w:rFonts w:cs="Miriam"/>
          <w:lang w:val="he-IL"/>
        </w:rPr>
        <w:pict>
          <v:rect id="_x0000_s2050" style="position:absolute;left:0;text-align:left;margin-left:468pt;margin-top:7.1pt;width:71.4pt;height:16.95pt;z-index:251652096" o:allowincell="f" filled="f" stroked="f" strokecolor="lime" strokeweight=".25pt">
            <v:textbox style="mso-next-textbox:#_x0000_s2050" inset="0,0,0,0">
              <w:txbxContent>
                <w:p w:rsidR="00155933" w:rsidRDefault="0015593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155933" w:rsidRDefault="00155933">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שמונה על ידי כממונה לענין צו זה כולו, לסוג טובין מסויים, או לסוג מסויים של בני אדם;</w:t>
      </w:r>
    </w:p>
    <w:p w:rsidR="00155933" w:rsidRDefault="00155933">
      <w:pPr>
        <w:pStyle w:val="P00"/>
        <w:spacing w:before="72"/>
        <w:ind w:left="0" w:right="1134"/>
        <w:rPr>
          <w:rStyle w:val="default"/>
          <w:rFonts w:cs="FrankRuehl" w:hint="cs"/>
          <w:rtl/>
        </w:rPr>
      </w:pPr>
      <w:r>
        <w:rPr>
          <w:rStyle w:val="default"/>
          <w:rFonts w:cs="FrankRuehl" w:hint="cs"/>
          <w:rtl/>
        </w:rPr>
        <w:tab/>
        <w:t xml:space="preserve">"טובין" </w:t>
      </w:r>
      <w:r>
        <w:rPr>
          <w:rStyle w:val="default"/>
          <w:rFonts w:cs="FrankRuehl"/>
          <w:rtl/>
        </w:rPr>
        <w:t>–</w:t>
      </w:r>
      <w:r>
        <w:rPr>
          <w:rStyle w:val="default"/>
          <w:rFonts w:cs="FrankRuehl" w:hint="cs"/>
          <w:rtl/>
        </w:rPr>
        <w:t xml:space="preserve"> כל נכס למינהו למעט מקרקעין, ולרבות תוצרת חקלאית;</w:t>
      </w:r>
    </w:p>
    <w:p w:rsidR="00155933" w:rsidRDefault="00155933">
      <w:pPr>
        <w:pStyle w:val="P00"/>
        <w:spacing w:before="72"/>
        <w:ind w:left="0" w:right="1134"/>
        <w:rPr>
          <w:rStyle w:val="default"/>
          <w:rFonts w:cs="FrankRuehl" w:hint="cs"/>
          <w:rtl/>
        </w:rPr>
      </w:pPr>
      <w:r>
        <w:rPr>
          <w:rStyle w:val="default"/>
          <w:rFonts w:cs="FrankRuehl" w:hint="cs"/>
          <w:rtl/>
        </w:rPr>
        <w:tab/>
        <w:t xml:space="preserve">"תוצרת חקלאית" </w:t>
      </w:r>
      <w:r>
        <w:rPr>
          <w:rStyle w:val="default"/>
          <w:rFonts w:cs="FrankRuehl"/>
          <w:rtl/>
        </w:rPr>
        <w:t>–</w:t>
      </w:r>
      <w:r>
        <w:rPr>
          <w:rStyle w:val="default"/>
          <w:rFonts w:cs="FrankRuehl" w:hint="cs"/>
          <w:rtl/>
        </w:rPr>
        <w:t xml:space="preserve"> צמח, כל חלק של צמח, לרבות פריו ולמעט פרי יבש, וכן בעל חיים חי או מת, וכל דבר הבא מן הצומח או מן החי, שלא עברו תהליך של עיבוד.</w:t>
      </w:r>
    </w:p>
    <w:p w:rsidR="00155933" w:rsidRDefault="00155933">
      <w:pPr>
        <w:pStyle w:val="P00"/>
        <w:spacing w:before="72"/>
        <w:ind w:left="0" w:right="1134"/>
        <w:rPr>
          <w:rStyle w:val="default"/>
          <w:rFonts w:cs="FrankRuehl" w:hint="cs"/>
          <w:rtl/>
        </w:rPr>
      </w:pPr>
      <w:bookmarkStart w:id="1" w:name="Seif2"/>
      <w:bookmarkEnd w:id="1"/>
      <w:r>
        <w:rPr>
          <w:rFonts w:cs="Miriam"/>
          <w:lang w:val="he-IL"/>
        </w:rPr>
        <w:pict>
          <v:rect id="_x0000_s2238" style="position:absolute;left:0;text-align:left;margin-left:464.35pt;margin-top:7.1pt;width:75.05pt;height:24.25pt;z-index:251653120" o:allowincell="f" filled="f" stroked="f" strokecolor="lime" strokeweight=".25pt">
            <v:textbox style="mso-next-textbox:#_x0000_s2238" inset="0,0,0,0">
              <w:txbxContent>
                <w:p w:rsidR="00155933" w:rsidRDefault="00155933">
                  <w:pPr>
                    <w:pStyle w:val="a7"/>
                    <w:rPr>
                      <w:rFonts w:hint="cs"/>
                      <w:noProof/>
                      <w:rtl/>
                    </w:rPr>
                  </w:pPr>
                  <w:r>
                    <w:rPr>
                      <w:rFonts w:hint="cs"/>
                      <w:rtl/>
                    </w:rPr>
                    <w:t>התרת הבאת טובין והוצאתם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הבאת טובין לאזור והוצאת טובין מהאזור טעונות היתר מאת הממונה.</w:t>
      </w:r>
    </w:p>
    <w:p w:rsidR="00155933" w:rsidRDefault="001559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היתר לפי צו זה יכול שיהיה כללי, לסוגים, אישי או מיוחד.</w:t>
      </w:r>
    </w:p>
    <w:p w:rsidR="00155933" w:rsidRDefault="001559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היתר שניתן לאדם לשם כניסה לאזור או ליציאה ממנו, אין כוחו יפה לשם הבאת טובין לאזור או לשם הוצאתם ממנו.</w:t>
      </w:r>
    </w:p>
    <w:p w:rsidR="00155933" w:rsidRDefault="001559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במתן היתר לפי צו זה כדי לפטור מכל הוראות החלות על יבוא טובין או טובין מסויימים או על יצואם מכוח הדין או תחיקת הבטחון.</w:t>
      </w:r>
    </w:p>
    <w:p w:rsidR="00155933" w:rsidRDefault="0015593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הטוען כי בידיו היתר לפי צו זה, עליו הראיה.</w:t>
      </w:r>
    </w:p>
    <w:p w:rsidR="00155933" w:rsidRDefault="00155933">
      <w:pPr>
        <w:pStyle w:val="P00"/>
        <w:spacing w:before="72"/>
        <w:ind w:left="0" w:right="1134"/>
        <w:rPr>
          <w:rStyle w:val="default"/>
          <w:rFonts w:cs="FrankRuehl" w:hint="cs"/>
          <w:rtl/>
        </w:rPr>
      </w:pPr>
      <w:bookmarkStart w:id="2" w:name="Seif11"/>
      <w:bookmarkEnd w:id="2"/>
      <w:r>
        <w:rPr>
          <w:rFonts w:cs="Miriam"/>
          <w:lang w:val="he-IL"/>
        </w:rPr>
        <w:pict>
          <v:rect id="_x0000_s2344" style="position:absolute;left:0;text-align:left;margin-left:464.35pt;margin-top:7.1pt;width:75.05pt;height:58.05pt;z-index:251662336" o:allowincell="f" filled="f" stroked="f" strokecolor="lime" strokeweight=".25pt">
            <v:textbox style="mso-next-textbox:#_x0000_s2344" inset="0,0,0,0">
              <w:txbxContent>
                <w:p w:rsidR="00155933" w:rsidRDefault="00155933">
                  <w:pPr>
                    <w:pStyle w:val="a7"/>
                    <w:rPr>
                      <w:rFonts w:hint="cs"/>
                      <w:rtl/>
                    </w:rPr>
                  </w:pPr>
                  <w:r>
                    <w:rPr>
                      <w:rFonts w:hint="cs"/>
                      <w:rtl/>
                    </w:rPr>
                    <w:t>הובלת טובין באזור</w:t>
                  </w:r>
                </w:p>
                <w:p w:rsidR="00155933" w:rsidRDefault="00155933">
                  <w:pPr>
                    <w:pStyle w:val="a7"/>
                    <w:rPr>
                      <w:rFonts w:hint="cs"/>
                      <w:rtl/>
                    </w:rPr>
                  </w:pPr>
                  <w:r>
                    <w:rPr>
                      <w:rFonts w:hint="cs"/>
                      <w:rtl/>
                    </w:rPr>
                    <w:t>תיקון מס' 1 (מס' 1389) תשנ"ג-1993</w:t>
                  </w:r>
                </w:p>
                <w:p w:rsidR="00155933" w:rsidRDefault="00155933">
                  <w:pPr>
                    <w:pStyle w:val="a7"/>
                    <w:rPr>
                      <w:rtl/>
                    </w:rPr>
                  </w:pPr>
                  <w:r>
                    <w:rPr>
                      <w:rFonts w:hint="cs"/>
                      <w:rtl/>
                    </w:rPr>
                    <w:t>תיקון מס' 3 (מס' 1583) תשס"ז-2007</w:t>
                  </w:r>
                </w:p>
                <w:p w:rsidR="0052499F" w:rsidRDefault="0052499F">
                  <w:pPr>
                    <w:pStyle w:val="a7"/>
                    <w:rPr>
                      <w:rFonts w:hint="cs"/>
                      <w:noProof/>
                      <w:rtl/>
                    </w:rPr>
                  </w:pPr>
                  <w:r>
                    <w:rPr>
                      <w:rFonts w:hint="cs"/>
                      <w:noProof/>
                      <w:rtl/>
                    </w:rPr>
                    <w:t>תיקון מס' 4 (מס' 1810) תשע"ט-2019</w:t>
                  </w:r>
                </w:p>
              </w:txbxContent>
            </v:textbox>
            <w10:anchorlock/>
          </v:rect>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ראש המנהל האזרחי רשאי לקבוע, בתקנות, כי הובלתם </w:t>
      </w:r>
      <w:r w:rsidR="0052499F">
        <w:rPr>
          <w:rStyle w:val="default"/>
          <w:rFonts w:cs="FrankRuehl" w:hint="cs"/>
          <w:rtl/>
        </w:rPr>
        <w:t xml:space="preserve">או החזקתם </w:t>
      </w:r>
      <w:r>
        <w:rPr>
          <w:rStyle w:val="default"/>
          <w:rFonts w:cs="FrankRuehl" w:hint="cs"/>
          <w:rtl/>
        </w:rPr>
        <w:t>של טובין מסויימים בתוך האזור תהיה טעונה היתר מטעם הממונה ורשאי הוא לקבוע בתקנות הוראות בדבר תפיסת נכסים שהובלתם נעשתה בניגוד לצו זה, חילוטם, מכירתם ותנאים לשחרורם, ובדבר הגבלת השימוש באמצעים ששימשו להובלה כאמור.</w:t>
      </w:r>
    </w:p>
    <w:p w:rsidR="00155933" w:rsidRPr="00887828" w:rsidRDefault="00155933">
      <w:pPr>
        <w:pStyle w:val="P00"/>
        <w:spacing w:before="0"/>
        <w:ind w:left="0" w:right="1134"/>
        <w:rPr>
          <w:rStyle w:val="default"/>
          <w:rFonts w:cs="FrankRuehl" w:hint="cs"/>
          <w:vanish/>
          <w:color w:val="FF0000"/>
          <w:sz w:val="20"/>
          <w:szCs w:val="20"/>
          <w:shd w:val="clear" w:color="auto" w:fill="FFFF99"/>
          <w:rtl/>
        </w:rPr>
      </w:pPr>
      <w:bookmarkStart w:id="3" w:name="Rov2"/>
      <w:r w:rsidRPr="00887828">
        <w:rPr>
          <w:rStyle w:val="default"/>
          <w:rFonts w:cs="FrankRuehl" w:hint="cs"/>
          <w:vanish/>
          <w:color w:val="FF0000"/>
          <w:sz w:val="20"/>
          <w:szCs w:val="20"/>
          <w:shd w:val="clear" w:color="auto" w:fill="FFFF99"/>
          <w:rtl/>
        </w:rPr>
        <w:t>מיום 23.2.1993</w:t>
      </w:r>
    </w:p>
    <w:p w:rsidR="00155933" w:rsidRPr="00887828" w:rsidRDefault="00155933">
      <w:pPr>
        <w:pStyle w:val="P00"/>
        <w:spacing w:before="0"/>
        <w:ind w:left="0" w:right="1134"/>
        <w:rPr>
          <w:rStyle w:val="default"/>
          <w:rFonts w:cs="FrankRuehl" w:hint="cs"/>
          <w:vanish/>
          <w:sz w:val="20"/>
          <w:szCs w:val="20"/>
          <w:shd w:val="clear" w:color="auto" w:fill="FFFF99"/>
          <w:rtl/>
        </w:rPr>
      </w:pPr>
      <w:r w:rsidRPr="00887828">
        <w:rPr>
          <w:rStyle w:val="default"/>
          <w:rFonts w:cs="FrankRuehl" w:hint="cs"/>
          <w:b/>
          <w:bCs/>
          <w:vanish/>
          <w:sz w:val="20"/>
          <w:szCs w:val="20"/>
          <w:shd w:val="clear" w:color="auto" w:fill="FFFF99"/>
          <w:rtl/>
        </w:rPr>
        <w:t>תיקון מס' 1 (מס' 1389)</w:t>
      </w:r>
      <w:r w:rsidR="004717EA" w:rsidRPr="00887828">
        <w:rPr>
          <w:rStyle w:val="default"/>
          <w:rFonts w:cs="FrankRuehl" w:hint="cs"/>
          <w:b/>
          <w:bCs/>
          <w:vanish/>
          <w:sz w:val="20"/>
          <w:szCs w:val="20"/>
          <w:shd w:val="clear" w:color="auto" w:fill="FFFF99"/>
          <w:rtl/>
        </w:rPr>
        <w:t xml:space="preserve"> תשנ"ג-1993</w:t>
      </w:r>
    </w:p>
    <w:p w:rsidR="00155933" w:rsidRPr="00887828" w:rsidRDefault="00155933">
      <w:pPr>
        <w:pStyle w:val="P00"/>
        <w:spacing w:before="0"/>
        <w:ind w:left="0" w:right="1134"/>
        <w:rPr>
          <w:rStyle w:val="default"/>
          <w:rFonts w:cs="FrankRuehl" w:hint="cs"/>
          <w:vanish/>
          <w:sz w:val="20"/>
          <w:szCs w:val="20"/>
          <w:shd w:val="clear" w:color="auto" w:fill="FFFF99"/>
          <w:rtl/>
        </w:rPr>
      </w:pPr>
      <w:hyperlink r:id="rId8" w:history="1">
        <w:r w:rsidRPr="00887828">
          <w:rPr>
            <w:rStyle w:val="Hyperlink"/>
            <w:rFonts w:cs="FrankRuehl" w:hint="cs"/>
            <w:vanish/>
            <w:szCs w:val="20"/>
            <w:shd w:val="clear" w:color="auto" w:fill="FFFF99"/>
            <w:rtl/>
          </w:rPr>
          <w:t>קובץ המנשרים מס' 145</w:t>
        </w:r>
      </w:hyperlink>
      <w:r w:rsidRPr="00887828">
        <w:rPr>
          <w:rStyle w:val="default"/>
          <w:rFonts w:cs="FrankRuehl" w:hint="cs"/>
          <w:vanish/>
          <w:sz w:val="20"/>
          <w:szCs w:val="20"/>
          <w:shd w:val="clear" w:color="auto" w:fill="FFFF99"/>
          <w:rtl/>
        </w:rPr>
        <w:t xml:space="preserve"> מחודש פברואר 1993 עמ' 1098</w:t>
      </w:r>
    </w:p>
    <w:p w:rsidR="00155933" w:rsidRPr="00887828" w:rsidRDefault="00155933">
      <w:pPr>
        <w:pStyle w:val="P00"/>
        <w:spacing w:before="0"/>
        <w:ind w:left="0" w:right="1134"/>
        <w:rPr>
          <w:rStyle w:val="default"/>
          <w:rFonts w:cs="FrankRuehl" w:hint="cs"/>
          <w:vanish/>
          <w:sz w:val="20"/>
          <w:szCs w:val="20"/>
          <w:shd w:val="clear" w:color="auto" w:fill="FFFF99"/>
          <w:rtl/>
        </w:rPr>
      </w:pPr>
      <w:r w:rsidRPr="00887828">
        <w:rPr>
          <w:rStyle w:val="default"/>
          <w:rFonts w:cs="FrankRuehl" w:hint="cs"/>
          <w:b/>
          <w:bCs/>
          <w:vanish/>
          <w:sz w:val="20"/>
          <w:szCs w:val="20"/>
          <w:shd w:val="clear" w:color="auto" w:fill="FFFF99"/>
          <w:rtl/>
        </w:rPr>
        <w:t>הוספת סעיף 2א</w:t>
      </w:r>
    </w:p>
    <w:p w:rsidR="00155933" w:rsidRPr="00887828" w:rsidRDefault="00155933">
      <w:pPr>
        <w:pStyle w:val="P00"/>
        <w:spacing w:before="0"/>
        <w:ind w:left="0" w:right="1134"/>
        <w:rPr>
          <w:rStyle w:val="default"/>
          <w:rFonts w:cs="FrankRuehl" w:hint="cs"/>
          <w:vanish/>
          <w:sz w:val="20"/>
          <w:szCs w:val="20"/>
          <w:shd w:val="clear" w:color="auto" w:fill="FFFF99"/>
          <w:rtl/>
        </w:rPr>
      </w:pPr>
    </w:p>
    <w:p w:rsidR="00155933" w:rsidRPr="00887828" w:rsidRDefault="00155933">
      <w:pPr>
        <w:pStyle w:val="P00"/>
        <w:spacing w:before="0"/>
        <w:ind w:left="0" w:right="1134"/>
        <w:rPr>
          <w:rStyle w:val="default"/>
          <w:rFonts w:cs="FrankRuehl" w:hint="cs"/>
          <w:vanish/>
          <w:color w:val="FF0000"/>
          <w:sz w:val="20"/>
          <w:szCs w:val="20"/>
          <w:shd w:val="clear" w:color="auto" w:fill="FFFF99"/>
          <w:rtl/>
        </w:rPr>
      </w:pPr>
      <w:r w:rsidRPr="00887828">
        <w:rPr>
          <w:rStyle w:val="default"/>
          <w:rFonts w:cs="FrankRuehl" w:hint="cs"/>
          <w:vanish/>
          <w:color w:val="FF0000"/>
          <w:sz w:val="20"/>
          <w:szCs w:val="20"/>
          <w:shd w:val="clear" w:color="auto" w:fill="FFFF99"/>
          <w:rtl/>
        </w:rPr>
        <w:t>מיום 25.1.2007</w:t>
      </w:r>
    </w:p>
    <w:p w:rsidR="00155933" w:rsidRPr="00887828" w:rsidRDefault="00155933">
      <w:pPr>
        <w:pStyle w:val="P00"/>
        <w:spacing w:before="0"/>
        <w:ind w:left="0" w:right="1134"/>
        <w:rPr>
          <w:rStyle w:val="default"/>
          <w:rFonts w:cs="FrankRuehl" w:hint="cs"/>
          <w:vanish/>
          <w:sz w:val="20"/>
          <w:szCs w:val="20"/>
          <w:shd w:val="clear" w:color="auto" w:fill="FFFF99"/>
          <w:rtl/>
        </w:rPr>
      </w:pPr>
      <w:r w:rsidRPr="00887828">
        <w:rPr>
          <w:rStyle w:val="default"/>
          <w:rFonts w:cs="FrankRuehl" w:hint="cs"/>
          <w:b/>
          <w:bCs/>
          <w:vanish/>
          <w:sz w:val="20"/>
          <w:szCs w:val="20"/>
          <w:shd w:val="clear" w:color="auto" w:fill="FFFF99"/>
          <w:rtl/>
        </w:rPr>
        <w:t>תיקון מס' 3 (מס' 1583) תשס"ז-2007</w:t>
      </w:r>
    </w:p>
    <w:p w:rsidR="00155933" w:rsidRPr="00887828" w:rsidRDefault="00155933">
      <w:pPr>
        <w:pStyle w:val="P00"/>
        <w:spacing w:before="0"/>
        <w:ind w:left="0" w:right="1134"/>
        <w:rPr>
          <w:rStyle w:val="default"/>
          <w:rFonts w:cs="FrankRuehl"/>
          <w:vanish/>
          <w:sz w:val="20"/>
          <w:szCs w:val="20"/>
          <w:shd w:val="clear" w:color="auto" w:fill="FFFF99"/>
          <w:rtl/>
        </w:rPr>
      </w:pPr>
      <w:hyperlink r:id="rId9" w:history="1">
        <w:r w:rsidRPr="00887828">
          <w:rPr>
            <w:rStyle w:val="Hyperlink"/>
            <w:rFonts w:cs="FrankRuehl" w:hint="cs"/>
            <w:vanish/>
            <w:szCs w:val="20"/>
            <w:shd w:val="clear" w:color="auto" w:fill="FFFF99"/>
            <w:rtl/>
          </w:rPr>
          <w:t>קובץ המנשרים מס' 219</w:t>
        </w:r>
      </w:hyperlink>
      <w:r w:rsidRPr="00887828">
        <w:rPr>
          <w:rStyle w:val="default"/>
          <w:rFonts w:cs="FrankRuehl" w:hint="cs"/>
          <w:vanish/>
          <w:sz w:val="20"/>
          <w:szCs w:val="20"/>
          <w:shd w:val="clear" w:color="auto" w:fill="FFFF99"/>
          <w:rtl/>
        </w:rPr>
        <w:t xml:space="preserve"> מחודש אפריל 2007 עמ' 4460</w:t>
      </w:r>
    </w:p>
    <w:p w:rsidR="0052499F" w:rsidRPr="00887828" w:rsidRDefault="0052499F" w:rsidP="0052499F">
      <w:pPr>
        <w:pStyle w:val="P00"/>
        <w:ind w:left="0" w:right="1134"/>
        <w:rPr>
          <w:rStyle w:val="default"/>
          <w:rFonts w:cs="FrankRuehl"/>
          <w:vanish/>
          <w:sz w:val="22"/>
          <w:szCs w:val="22"/>
          <w:shd w:val="clear" w:color="auto" w:fill="FFFF99"/>
          <w:rtl/>
        </w:rPr>
      </w:pPr>
      <w:r w:rsidRPr="00887828">
        <w:rPr>
          <w:rStyle w:val="big-number"/>
          <w:rFonts w:cs="FrankRuehl" w:hint="cs"/>
          <w:vanish/>
          <w:sz w:val="22"/>
          <w:szCs w:val="22"/>
          <w:shd w:val="clear" w:color="auto" w:fill="FFFF99"/>
          <w:rtl/>
        </w:rPr>
        <w:t>2</w:t>
      </w:r>
      <w:r w:rsidRPr="00887828">
        <w:rPr>
          <w:rStyle w:val="default"/>
          <w:rFonts w:cs="FrankRuehl" w:hint="cs"/>
          <w:vanish/>
          <w:sz w:val="22"/>
          <w:szCs w:val="22"/>
          <w:shd w:val="clear" w:color="auto" w:fill="FFFF99"/>
          <w:rtl/>
        </w:rPr>
        <w:t>א</w:t>
      </w:r>
      <w:r w:rsidRPr="00887828">
        <w:rPr>
          <w:rStyle w:val="default"/>
          <w:rFonts w:cs="FrankRuehl"/>
          <w:vanish/>
          <w:sz w:val="22"/>
          <w:szCs w:val="22"/>
          <w:shd w:val="clear" w:color="auto" w:fill="FFFF99"/>
          <w:rtl/>
        </w:rPr>
        <w:t>.</w:t>
      </w:r>
      <w:r w:rsidRPr="00887828">
        <w:rPr>
          <w:rStyle w:val="default"/>
          <w:rFonts w:cs="FrankRuehl"/>
          <w:vanish/>
          <w:sz w:val="22"/>
          <w:szCs w:val="22"/>
          <w:shd w:val="clear" w:color="auto" w:fill="FFFF99"/>
          <w:rtl/>
        </w:rPr>
        <w:tab/>
      </w:r>
      <w:r w:rsidRPr="00887828">
        <w:rPr>
          <w:rStyle w:val="default"/>
          <w:rFonts w:cs="FrankRuehl" w:hint="cs"/>
          <w:vanish/>
          <w:sz w:val="22"/>
          <w:szCs w:val="22"/>
          <w:shd w:val="clear" w:color="auto" w:fill="FFFF99"/>
          <w:rtl/>
        </w:rPr>
        <w:t xml:space="preserve">ראש המנהל האזרחי רשאי לקבוע, בתקנות, כי הובלתם של טובין מסויימים בתוך האזור תהיה טעונה היתר מטעם הממונה </w:t>
      </w:r>
      <w:r w:rsidRPr="00887828">
        <w:rPr>
          <w:rStyle w:val="default"/>
          <w:rFonts w:cs="FrankRuehl" w:hint="cs"/>
          <w:vanish/>
          <w:sz w:val="22"/>
          <w:szCs w:val="22"/>
          <w:u w:val="single"/>
          <w:shd w:val="clear" w:color="auto" w:fill="FFFF99"/>
          <w:rtl/>
        </w:rPr>
        <w:t>ורשאי הוא לקבוע בתקנות הוראות בדבר תפיסת נכסים שהובלתם נעשתה בניגוד לצו זה, חילוטם, מכירתם ותנאים לשחרורם, ובדבר הגבלת השימוש באמצעים ששימשו להובלה כאמור</w:t>
      </w:r>
      <w:r w:rsidRPr="00887828">
        <w:rPr>
          <w:rStyle w:val="default"/>
          <w:rFonts w:cs="FrankRuehl" w:hint="cs"/>
          <w:vanish/>
          <w:sz w:val="22"/>
          <w:szCs w:val="22"/>
          <w:shd w:val="clear" w:color="auto" w:fill="FFFF99"/>
          <w:rtl/>
        </w:rPr>
        <w:t>.</w:t>
      </w:r>
    </w:p>
    <w:p w:rsidR="0052499F" w:rsidRPr="00887828" w:rsidRDefault="0052499F">
      <w:pPr>
        <w:pStyle w:val="P00"/>
        <w:spacing w:before="0"/>
        <w:ind w:left="0" w:right="1134"/>
        <w:rPr>
          <w:rStyle w:val="default"/>
          <w:rFonts w:cs="FrankRuehl"/>
          <w:vanish/>
          <w:sz w:val="20"/>
          <w:szCs w:val="20"/>
          <w:shd w:val="clear" w:color="auto" w:fill="FFFF99"/>
          <w:rtl/>
        </w:rPr>
      </w:pPr>
    </w:p>
    <w:p w:rsidR="0052499F" w:rsidRPr="00887828" w:rsidRDefault="0052499F">
      <w:pPr>
        <w:pStyle w:val="P00"/>
        <w:spacing w:before="0"/>
        <w:ind w:left="0" w:right="1134"/>
        <w:rPr>
          <w:rStyle w:val="default"/>
          <w:rFonts w:cs="FrankRuehl"/>
          <w:vanish/>
          <w:color w:val="FF0000"/>
          <w:sz w:val="20"/>
          <w:szCs w:val="20"/>
          <w:shd w:val="clear" w:color="auto" w:fill="FFFF99"/>
          <w:rtl/>
        </w:rPr>
      </w:pPr>
      <w:r w:rsidRPr="00887828">
        <w:rPr>
          <w:rStyle w:val="default"/>
          <w:rFonts w:cs="FrankRuehl" w:hint="cs"/>
          <w:vanish/>
          <w:color w:val="FF0000"/>
          <w:sz w:val="20"/>
          <w:szCs w:val="20"/>
          <w:shd w:val="clear" w:color="auto" w:fill="FFFF99"/>
          <w:rtl/>
        </w:rPr>
        <w:t>מיום 20.1.2019</w:t>
      </w:r>
    </w:p>
    <w:p w:rsidR="0052499F" w:rsidRPr="00887828" w:rsidRDefault="0052499F">
      <w:pPr>
        <w:pStyle w:val="P00"/>
        <w:spacing w:before="0"/>
        <w:ind w:left="0" w:right="1134"/>
        <w:rPr>
          <w:rStyle w:val="default"/>
          <w:rFonts w:cs="FrankRuehl"/>
          <w:vanish/>
          <w:sz w:val="20"/>
          <w:szCs w:val="20"/>
          <w:shd w:val="clear" w:color="auto" w:fill="FFFF99"/>
          <w:rtl/>
        </w:rPr>
      </w:pPr>
      <w:r w:rsidRPr="00887828">
        <w:rPr>
          <w:rStyle w:val="default"/>
          <w:rFonts w:cs="FrankRuehl" w:hint="cs"/>
          <w:b/>
          <w:bCs/>
          <w:vanish/>
          <w:sz w:val="20"/>
          <w:szCs w:val="20"/>
          <w:shd w:val="clear" w:color="auto" w:fill="FFFF99"/>
          <w:rtl/>
        </w:rPr>
        <w:t>תיקון מס' 4 (מס' 1810) תשע"ט-2019</w:t>
      </w:r>
    </w:p>
    <w:p w:rsidR="00955CDB" w:rsidRPr="00887828" w:rsidRDefault="00955CDB">
      <w:pPr>
        <w:pStyle w:val="P00"/>
        <w:spacing w:before="0"/>
        <w:ind w:left="0" w:right="1134"/>
        <w:rPr>
          <w:rStyle w:val="default"/>
          <w:rFonts w:cs="FrankRuehl" w:hint="cs"/>
          <w:vanish/>
          <w:sz w:val="20"/>
          <w:szCs w:val="20"/>
          <w:shd w:val="clear" w:color="auto" w:fill="FFFF99"/>
          <w:rtl/>
        </w:rPr>
      </w:pPr>
      <w:hyperlink r:id="rId10" w:history="1">
        <w:r w:rsidRPr="00887828">
          <w:rPr>
            <w:rStyle w:val="Hyperlink"/>
            <w:rFonts w:cs="FrankRuehl" w:hint="cs"/>
            <w:vanish/>
            <w:szCs w:val="20"/>
            <w:shd w:val="clear" w:color="auto" w:fill="FFFF99"/>
            <w:rtl/>
          </w:rPr>
          <w:t>קובץ המנשרים מס' 249</w:t>
        </w:r>
      </w:hyperlink>
      <w:r w:rsidRPr="00887828">
        <w:rPr>
          <w:rStyle w:val="default"/>
          <w:rFonts w:cs="FrankRuehl" w:hint="cs"/>
          <w:vanish/>
          <w:sz w:val="20"/>
          <w:szCs w:val="20"/>
          <w:shd w:val="clear" w:color="auto" w:fill="FFFF99"/>
          <w:rtl/>
        </w:rPr>
        <w:t xml:space="preserve"> מחודש מרץ 2019 עמ' 8735</w:t>
      </w:r>
    </w:p>
    <w:p w:rsidR="00155933" w:rsidRDefault="00155933">
      <w:pPr>
        <w:pStyle w:val="P00"/>
        <w:ind w:left="0" w:right="1134"/>
        <w:rPr>
          <w:rStyle w:val="default"/>
          <w:rFonts w:cs="FrankRuehl" w:hint="cs"/>
          <w:sz w:val="2"/>
          <w:szCs w:val="2"/>
          <w:rtl/>
        </w:rPr>
      </w:pPr>
      <w:r w:rsidRPr="00887828">
        <w:rPr>
          <w:rStyle w:val="big-number"/>
          <w:rFonts w:cs="FrankRuehl" w:hint="cs"/>
          <w:vanish/>
          <w:sz w:val="22"/>
          <w:szCs w:val="22"/>
          <w:shd w:val="clear" w:color="auto" w:fill="FFFF99"/>
          <w:rtl/>
        </w:rPr>
        <w:t>2</w:t>
      </w:r>
      <w:r w:rsidRPr="00887828">
        <w:rPr>
          <w:rStyle w:val="default"/>
          <w:rFonts w:cs="FrankRuehl" w:hint="cs"/>
          <w:vanish/>
          <w:sz w:val="22"/>
          <w:szCs w:val="22"/>
          <w:shd w:val="clear" w:color="auto" w:fill="FFFF99"/>
          <w:rtl/>
        </w:rPr>
        <w:t>א</w:t>
      </w:r>
      <w:r w:rsidRPr="00887828">
        <w:rPr>
          <w:rStyle w:val="default"/>
          <w:rFonts w:cs="FrankRuehl"/>
          <w:vanish/>
          <w:sz w:val="22"/>
          <w:szCs w:val="22"/>
          <w:shd w:val="clear" w:color="auto" w:fill="FFFF99"/>
          <w:rtl/>
        </w:rPr>
        <w:t>.</w:t>
      </w:r>
      <w:r w:rsidRPr="00887828">
        <w:rPr>
          <w:rStyle w:val="default"/>
          <w:rFonts w:cs="FrankRuehl"/>
          <w:vanish/>
          <w:sz w:val="22"/>
          <w:szCs w:val="22"/>
          <w:shd w:val="clear" w:color="auto" w:fill="FFFF99"/>
          <w:rtl/>
        </w:rPr>
        <w:tab/>
      </w:r>
      <w:r w:rsidRPr="00887828">
        <w:rPr>
          <w:rStyle w:val="default"/>
          <w:rFonts w:cs="FrankRuehl" w:hint="cs"/>
          <w:vanish/>
          <w:sz w:val="22"/>
          <w:szCs w:val="22"/>
          <w:shd w:val="clear" w:color="auto" w:fill="FFFF99"/>
          <w:rtl/>
        </w:rPr>
        <w:t>ראש המנהל האזרחי רשאי לקבוע, בתקנות, כי הובלתם</w:t>
      </w:r>
      <w:r w:rsidR="0052499F" w:rsidRPr="00887828">
        <w:rPr>
          <w:rStyle w:val="default"/>
          <w:rFonts w:cs="FrankRuehl" w:hint="cs"/>
          <w:vanish/>
          <w:sz w:val="22"/>
          <w:szCs w:val="22"/>
          <w:shd w:val="clear" w:color="auto" w:fill="FFFF99"/>
          <w:rtl/>
        </w:rPr>
        <w:t xml:space="preserve"> </w:t>
      </w:r>
      <w:r w:rsidR="0052499F" w:rsidRPr="00887828">
        <w:rPr>
          <w:rStyle w:val="default"/>
          <w:rFonts w:cs="FrankRuehl" w:hint="cs"/>
          <w:vanish/>
          <w:sz w:val="22"/>
          <w:szCs w:val="22"/>
          <w:u w:val="single"/>
          <w:shd w:val="clear" w:color="auto" w:fill="FFFF99"/>
          <w:rtl/>
        </w:rPr>
        <w:t>או החזקתם</w:t>
      </w:r>
      <w:r w:rsidRPr="00887828">
        <w:rPr>
          <w:rStyle w:val="default"/>
          <w:rFonts w:cs="FrankRuehl" w:hint="cs"/>
          <w:vanish/>
          <w:sz w:val="22"/>
          <w:szCs w:val="22"/>
          <w:shd w:val="clear" w:color="auto" w:fill="FFFF99"/>
          <w:rtl/>
        </w:rPr>
        <w:t xml:space="preserve"> של טובין מסויימים בתוך האזור תהיה טעונה היתר מטעם הממונה ורשאי הוא לקבוע בתקנות הוראות בדבר תפיסת נכסים שהובלתם נעשתה בניגוד לצו זה, חילוטם, מכירתם ותנאים לשחרורם, ובדבר הגבלת השימוש באמצעים ששימשו להובלה כאמור.</w:t>
      </w:r>
      <w:bookmarkEnd w:id="3"/>
    </w:p>
    <w:p w:rsidR="00155933" w:rsidRDefault="00155933">
      <w:pPr>
        <w:pStyle w:val="P00"/>
        <w:spacing w:before="72"/>
        <w:ind w:left="0" w:right="1134"/>
        <w:rPr>
          <w:rStyle w:val="default"/>
          <w:rFonts w:cs="FrankRuehl" w:hint="cs"/>
          <w:rtl/>
        </w:rPr>
      </w:pPr>
      <w:bookmarkStart w:id="4" w:name="Seif3"/>
      <w:bookmarkEnd w:id="4"/>
      <w:r>
        <w:rPr>
          <w:rFonts w:cs="Miriam"/>
          <w:lang w:val="he-IL"/>
        </w:rPr>
        <w:pict>
          <v:rect id="_x0000_s2263" style="position:absolute;left:0;text-align:left;margin-left:464.35pt;margin-top:7.1pt;width:75.05pt;height:19.9pt;z-index:251654144" o:allowincell="f" filled="f" stroked="f" strokecolor="lime" strokeweight=".25pt">
            <v:textbox style="mso-next-textbox:#_x0000_s2263" inset="0,0,0,0">
              <w:txbxContent>
                <w:p w:rsidR="00155933" w:rsidRDefault="00155933">
                  <w:pPr>
                    <w:spacing w:line="160" w:lineRule="exact"/>
                    <w:rPr>
                      <w:rFonts w:cs="Miriam" w:hint="cs"/>
                      <w:noProof/>
                      <w:sz w:val="18"/>
                      <w:szCs w:val="18"/>
                      <w:rtl/>
                    </w:rPr>
                  </w:pPr>
                  <w:r>
                    <w:rPr>
                      <w:rFonts w:cs="Miriam" w:hint="cs"/>
                      <w:sz w:val="18"/>
                      <w:szCs w:val="18"/>
                      <w:rtl/>
                    </w:rPr>
                    <w:t>תנאי הבאת טובין או הוצאתם</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 xml:space="preserve">הממונה רשאי להתנות בהיתר תנאים, לרבות תנאים בדבר העשיה בטובין לאחר הבאתם </w:t>
      </w:r>
      <w:r>
        <w:rPr>
          <w:rStyle w:val="default"/>
          <w:rFonts w:cs="FrankRuehl" w:hint="cs"/>
          <w:rtl/>
        </w:rPr>
        <w:lastRenderedPageBreak/>
        <w:t>לאזור והדרך בה יובלו ליעדם.</w:t>
      </w:r>
    </w:p>
    <w:p w:rsidR="00155933" w:rsidRDefault="00155933">
      <w:pPr>
        <w:pStyle w:val="P00"/>
        <w:spacing w:before="72"/>
        <w:ind w:left="0" w:right="1134"/>
        <w:rPr>
          <w:rStyle w:val="default"/>
          <w:rFonts w:cs="FrankRuehl" w:hint="cs"/>
          <w:rtl/>
        </w:rPr>
      </w:pPr>
      <w:bookmarkStart w:id="5" w:name="Seif12"/>
      <w:bookmarkEnd w:id="5"/>
      <w:r>
        <w:rPr>
          <w:rFonts w:cs="Miriam"/>
          <w:lang w:val="he-IL"/>
        </w:rPr>
        <w:pict>
          <v:rect id="_x0000_s2345" style="position:absolute;left:0;text-align:left;margin-left:464.35pt;margin-top:7.1pt;width:75.05pt;height:50.05pt;z-index:251663360" o:allowincell="f" filled="f" stroked="f" strokecolor="lime" strokeweight=".25pt">
            <v:textbox style="mso-next-textbox:#_x0000_s2345" inset="0,0,0,0">
              <w:txbxContent>
                <w:p w:rsidR="00155933" w:rsidRDefault="00155933">
                  <w:pPr>
                    <w:spacing w:line="160" w:lineRule="exact"/>
                    <w:rPr>
                      <w:rFonts w:cs="Miriam" w:hint="cs"/>
                      <w:sz w:val="18"/>
                      <w:szCs w:val="18"/>
                      <w:rtl/>
                    </w:rPr>
                  </w:pPr>
                  <w:r>
                    <w:rPr>
                      <w:rFonts w:cs="Miriam" w:hint="cs"/>
                      <w:sz w:val="18"/>
                      <w:szCs w:val="18"/>
                      <w:rtl/>
                    </w:rPr>
                    <w:t>תנאי הבאת טובין או הוצאתם</w:t>
                  </w:r>
                </w:p>
                <w:p w:rsidR="00155933" w:rsidRDefault="00155933">
                  <w:pPr>
                    <w:spacing w:line="160" w:lineRule="exact"/>
                    <w:rPr>
                      <w:rFonts w:cs="Miriam" w:hint="cs"/>
                      <w:noProof/>
                      <w:sz w:val="18"/>
                      <w:szCs w:val="18"/>
                      <w:rtl/>
                    </w:rPr>
                  </w:pPr>
                  <w:r>
                    <w:rPr>
                      <w:rFonts w:cs="Miriam" w:hint="cs"/>
                      <w:sz w:val="18"/>
                      <w:szCs w:val="18"/>
                      <w:rtl/>
                    </w:rPr>
                    <w:t>תיקון מס' 2 (מס' 1570) תשס"ה-2005</w:t>
                  </w:r>
                </w:p>
                <w:p w:rsidR="009B3301" w:rsidRDefault="009B3301">
                  <w:pPr>
                    <w:spacing w:line="160" w:lineRule="exact"/>
                    <w:rPr>
                      <w:rFonts w:cs="Miriam" w:hint="cs"/>
                      <w:noProof/>
                      <w:sz w:val="18"/>
                      <w:szCs w:val="18"/>
                      <w:rtl/>
                    </w:rPr>
                  </w:pPr>
                  <w:r>
                    <w:rPr>
                      <w:rFonts w:cs="Miriam" w:hint="cs"/>
                      <w:noProof/>
                      <w:sz w:val="18"/>
                      <w:szCs w:val="18"/>
                      <w:rtl/>
                    </w:rPr>
                    <w:t>הוראת שעה (מס' 1665) תשע"א-2010</w:t>
                  </w:r>
                </w:p>
              </w:txbxContent>
            </v:textbox>
            <w10:anchorlock/>
          </v:rect>
        </w:pict>
      </w:r>
      <w:r>
        <w:rPr>
          <w:rStyle w:val="big-number"/>
          <w:rFonts w:cs="Miriam" w:hint="cs"/>
          <w:rtl/>
        </w:rPr>
        <w:t>3</w:t>
      </w:r>
      <w:r>
        <w:rPr>
          <w:rStyle w:val="default"/>
          <w:rFonts w:cs="FrankRuehl" w:hint="cs"/>
          <w:rtl/>
        </w:rPr>
        <w:t>א</w:t>
      </w:r>
      <w:r w:rsidR="00405B59">
        <w:rPr>
          <w:rStyle w:val="a6"/>
          <w:rFonts w:cs="FrankRuehl"/>
          <w:sz w:val="26"/>
          <w:rtl/>
        </w:rPr>
        <w:footnoteReference w:id="2"/>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ראש המנהל האזרחי רשאי לקבוע בהודעה נקודות להעברת טובין בין האזור וישראל (להלן: "נקודות מעבר") ואת ההסדרים שיחולו בנקודות המעבר.</w:t>
      </w:r>
    </w:p>
    <w:p w:rsidR="00155933" w:rsidRDefault="001559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ניתנה הודעה לפי סעיף קטן (א), לא יביא אדם טובין לאזור ולא יוציא טובין מהאזור אלא דרך נקודות מעבר, והכל בהתאם לאמור בהודעה.</w:t>
      </w:r>
    </w:p>
    <w:p w:rsidR="00155933" w:rsidRDefault="001559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המנהל האזרחי רשאי לקבוע כי סעיף קטן (ב) לא יחול על אדם או סוג בני אדם לגבי כלל סוגי הטובין, לגבי טובין מסויימים או לגבי טובין ממוצא מסוים או אל יעד מסוים.</w:t>
      </w:r>
    </w:p>
    <w:p w:rsidR="00155933" w:rsidRPr="00887828" w:rsidRDefault="00155933">
      <w:pPr>
        <w:pStyle w:val="P00"/>
        <w:spacing w:before="0"/>
        <w:ind w:left="0" w:right="1134"/>
        <w:rPr>
          <w:rStyle w:val="default"/>
          <w:rFonts w:cs="FrankRuehl" w:hint="cs"/>
          <w:vanish/>
          <w:color w:val="FF0000"/>
          <w:sz w:val="20"/>
          <w:szCs w:val="20"/>
          <w:shd w:val="clear" w:color="auto" w:fill="FFFF99"/>
          <w:rtl/>
        </w:rPr>
      </w:pPr>
      <w:bookmarkStart w:id="6" w:name="Rov14"/>
      <w:r w:rsidRPr="00887828">
        <w:rPr>
          <w:rStyle w:val="default"/>
          <w:rFonts w:cs="FrankRuehl" w:hint="cs"/>
          <w:vanish/>
          <w:color w:val="FF0000"/>
          <w:sz w:val="20"/>
          <w:szCs w:val="20"/>
          <w:shd w:val="clear" w:color="auto" w:fill="FFFF99"/>
          <w:rtl/>
        </w:rPr>
        <w:t>מיום 8.8.2005</w:t>
      </w:r>
    </w:p>
    <w:p w:rsidR="00155933" w:rsidRPr="00887828" w:rsidRDefault="00155933">
      <w:pPr>
        <w:pStyle w:val="P00"/>
        <w:spacing w:before="0"/>
        <w:ind w:left="0" w:right="1134"/>
        <w:rPr>
          <w:rStyle w:val="default"/>
          <w:rFonts w:cs="FrankRuehl" w:hint="cs"/>
          <w:vanish/>
          <w:sz w:val="20"/>
          <w:szCs w:val="20"/>
          <w:shd w:val="clear" w:color="auto" w:fill="FFFF99"/>
          <w:rtl/>
        </w:rPr>
      </w:pPr>
      <w:r w:rsidRPr="00887828">
        <w:rPr>
          <w:rStyle w:val="default"/>
          <w:rFonts w:cs="FrankRuehl" w:hint="cs"/>
          <w:b/>
          <w:bCs/>
          <w:vanish/>
          <w:sz w:val="20"/>
          <w:szCs w:val="20"/>
          <w:shd w:val="clear" w:color="auto" w:fill="FFFF99"/>
          <w:rtl/>
        </w:rPr>
        <w:t>תיקון מס' 2 (מס' 1570)</w:t>
      </w:r>
      <w:r w:rsidR="004717EA" w:rsidRPr="00887828">
        <w:rPr>
          <w:rStyle w:val="default"/>
          <w:rFonts w:cs="FrankRuehl" w:hint="cs"/>
          <w:b/>
          <w:bCs/>
          <w:vanish/>
          <w:sz w:val="20"/>
          <w:szCs w:val="20"/>
          <w:shd w:val="clear" w:color="auto" w:fill="FFFF99"/>
          <w:rtl/>
        </w:rPr>
        <w:t xml:space="preserve"> תשס"ה-2005</w:t>
      </w:r>
    </w:p>
    <w:p w:rsidR="00155933" w:rsidRPr="00887828" w:rsidRDefault="00155933">
      <w:pPr>
        <w:pStyle w:val="P00"/>
        <w:spacing w:before="0"/>
        <w:ind w:left="0" w:right="1134"/>
        <w:rPr>
          <w:rStyle w:val="default"/>
          <w:rFonts w:cs="FrankRuehl" w:hint="cs"/>
          <w:vanish/>
          <w:sz w:val="20"/>
          <w:szCs w:val="20"/>
          <w:shd w:val="clear" w:color="auto" w:fill="FFFF99"/>
          <w:rtl/>
        </w:rPr>
      </w:pPr>
      <w:hyperlink r:id="rId11" w:history="1">
        <w:r w:rsidRPr="00887828">
          <w:rPr>
            <w:rStyle w:val="Hyperlink"/>
            <w:rFonts w:cs="FrankRuehl" w:hint="eastAsia"/>
            <w:vanish/>
            <w:szCs w:val="20"/>
            <w:shd w:val="clear" w:color="auto" w:fill="FFFF99"/>
            <w:rtl/>
          </w:rPr>
          <w:t>קובץ</w:t>
        </w:r>
        <w:r w:rsidRPr="00887828">
          <w:rPr>
            <w:rStyle w:val="Hyperlink"/>
            <w:rFonts w:cs="FrankRuehl"/>
            <w:vanish/>
            <w:szCs w:val="20"/>
            <w:shd w:val="clear" w:color="auto" w:fill="FFFF99"/>
            <w:rtl/>
          </w:rPr>
          <w:t xml:space="preserve"> המנשרים מס' 210</w:t>
        </w:r>
      </w:hyperlink>
      <w:r w:rsidRPr="00887828">
        <w:rPr>
          <w:rStyle w:val="default"/>
          <w:rFonts w:cs="FrankRuehl" w:hint="cs"/>
          <w:vanish/>
          <w:sz w:val="20"/>
          <w:szCs w:val="20"/>
          <w:shd w:val="clear" w:color="auto" w:fill="FFFF99"/>
          <w:rtl/>
        </w:rPr>
        <w:t xml:space="preserve"> מחודש ינואר 2006 עמ' 4056</w:t>
      </w:r>
    </w:p>
    <w:p w:rsidR="00155933" w:rsidRPr="00887828" w:rsidRDefault="00155933">
      <w:pPr>
        <w:pStyle w:val="P00"/>
        <w:spacing w:before="0"/>
        <w:ind w:left="0" w:right="1134"/>
        <w:rPr>
          <w:rStyle w:val="default"/>
          <w:rFonts w:cs="FrankRuehl" w:hint="cs"/>
          <w:vanish/>
          <w:sz w:val="20"/>
          <w:szCs w:val="20"/>
          <w:shd w:val="clear" w:color="auto" w:fill="FFFF99"/>
          <w:rtl/>
        </w:rPr>
      </w:pPr>
      <w:r w:rsidRPr="00887828">
        <w:rPr>
          <w:rStyle w:val="default"/>
          <w:rFonts w:cs="FrankRuehl" w:hint="cs"/>
          <w:b/>
          <w:bCs/>
          <w:vanish/>
          <w:sz w:val="20"/>
          <w:szCs w:val="20"/>
          <w:shd w:val="clear" w:color="auto" w:fill="FFFF99"/>
          <w:rtl/>
        </w:rPr>
        <w:t>הוספת סעיף 3א</w:t>
      </w:r>
    </w:p>
    <w:p w:rsidR="009B3301" w:rsidRPr="00887828" w:rsidRDefault="009B3301">
      <w:pPr>
        <w:pStyle w:val="P00"/>
        <w:spacing w:before="0"/>
        <w:ind w:left="0" w:right="1134"/>
        <w:rPr>
          <w:rStyle w:val="default"/>
          <w:rFonts w:cs="FrankRuehl" w:hint="cs"/>
          <w:vanish/>
          <w:sz w:val="20"/>
          <w:szCs w:val="20"/>
          <w:shd w:val="clear" w:color="auto" w:fill="FFFF99"/>
          <w:rtl/>
        </w:rPr>
      </w:pPr>
    </w:p>
    <w:p w:rsidR="009B3301" w:rsidRPr="00887828" w:rsidRDefault="009B3301">
      <w:pPr>
        <w:pStyle w:val="P00"/>
        <w:spacing w:before="0"/>
        <w:ind w:left="0" w:right="1134"/>
        <w:rPr>
          <w:rStyle w:val="default"/>
          <w:rFonts w:cs="FrankRuehl" w:hint="cs"/>
          <w:vanish/>
          <w:color w:val="FF0000"/>
          <w:sz w:val="20"/>
          <w:szCs w:val="20"/>
          <w:shd w:val="clear" w:color="auto" w:fill="FFFF99"/>
          <w:rtl/>
        </w:rPr>
      </w:pPr>
      <w:r w:rsidRPr="00887828">
        <w:rPr>
          <w:rStyle w:val="default"/>
          <w:rFonts w:cs="FrankRuehl" w:hint="cs"/>
          <w:vanish/>
          <w:color w:val="FF0000"/>
          <w:sz w:val="20"/>
          <w:szCs w:val="20"/>
          <w:shd w:val="clear" w:color="auto" w:fill="FFFF99"/>
          <w:rtl/>
        </w:rPr>
        <w:t xml:space="preserve">מיום 13.1.2011 עד יום </w:t>
      </w:r>
      <w:r w:rsidR="00887828" w:rsidRPr="00887828">
        <w:rPr>
          <w:rStyle w:val="default"/>
          <w:rFonts w:cs="FrankRuehl" w:hint="cs"/>
          <w:vanish/>
          <w:color w:val="FF0000"/>
          <w:sz w:val="20"/>
          <w:szCs w:val="20"/>
          <w:shd w:val="clear" w:color="auto" w:fill="FFFF99"/>
          <w:rtl/>
        </w:rPr>
        <w:t>30.6.2026</w:t>
      </w:r>
    </w:p>
    <w:p w:rsidR="009B3301" w:rsidRPr="00887828" w:rsidRDefault="009B3301" w:rsidP="009B3301">
      <w:pPr>
        <w:pStyle w:val="P00"/>
        <w:spacing w:before="0"/>
        <w:ind w:left="0" w:right="1134"/>
        <w:rPr>
          <w:rStyle w:val="default"/>
          <w:rFonts w:cs="FrankRuehl" w:hint="cs"/>
          <w:vanish/>
          <w:sz w:val="20"/>
          <w:szCs w:val="20"/>
          <w:shd w:val="clear" w:color="auto" w:fill="FFFF99"/>
          <w:rtl/>
        </w:rPr>
      </w:pPr>
      <w:r w:rsidRPr="00887828">
        <w:rPr>
          <w:rStyle w:val="default"/>
          <w:rFonts w:cs="FrankRuehl" w:hint="cs"/>
          <w:b/>
          <w:bCs/>
          <w:vanish/>
          <w:sz w:val="20"/>
          <w:szCs w:val="20"/>
          <w:shd w:val="clear" w:color="auto" w:fill="FFFF99"/>
          <w:rtl/>
        </w:rPr>
        <w:t>הוראת שעה (מס' 1665) תשע"א-2010</w:t>
      </w:r>
    </w:p>
    <w:p w:rsidR="009B3301" w:rsidRPr="00887828" w:rsidRDefault="009B3301" w:rsidP="009B3301">
      <w:pPr>
        <w:pStyle w:val="P00"/>
        <w:spacing w:before="0"/>
        <w:ind w:left="0" w:right="1134"/>
        <w:rPr>
          <w:rStyle w:val="default"/>
          <w:rFonts w:cs="FrankRuehl"/>
          <w:vanish/>
          <w:sz w:val="20"/>
          <w:szCs w:val="20"/>
          <w:shd w:val="clear" w:color="auto" w:fill="FFFF99"/>
          <w:rtl/>
        </w:rPr>
      </w:pPr>
      <w:hyperlink r:id="rId12" w:history="1">
        <w:r w:rsidRPr="00887828">
          <w:rPr>
            <w:rStyle w:val="Hyperlink"/>
            <w:rFonts w:cs="FrankRuehl" w:hint="cs"/>
            <w:vanish/>
            <w:szCs w:val="20"/>
            <w:shd w:val="clear" w:color="auto" w:fill="FFFF99"/>
            <w:rtl/>
          </w:rPr>
          <w:t>קובץ המנשרים מס' 237</w:t>
        </w:r>
      </w:hyperlink>
      <w:r w:rsidRPr="00887828">
        <w:rPr>
          <w:rStyle w:val="default"/>
          <w:rFonts w:cs="FrankRuehl" w:hint="cs"/>
          <w:vanish/>
          <w:sz w:val="20"/>
          <w:szCs w:val="20"/>
          <w:shd w:val="clear" w:color="auto" w:fill="FFFF99"/>
          <w:rtl/>
        </w:rPr>
        <w:t xml:space="preserve"> מחודש אפריל 2011 עמ' 6328</w:t>
      </w:r>
    </w:p>
    <w:p w:rsidR="00405B59" w:rsidRPr="00887828" w:rsidRDefault="00405B59" w:rsidP="009B3301">
      <w:pPr>
        <w:pStyle w:val="P00"/>
        <w:spacing w:before="0"/>
        <w:ind w:left="0" w:right="1134"/>
        <w:rPr>
          <w:rStyle w:val="default"/>
          <w:rFonts w:cs="FrankRuehl"/>
          <w:vanish/>
          <w:sz w:val="20"/>
          <w:szCs w:val="20"/>
          <w:shd w:val="clear" w:color="auto" w:fill="FFFF99"/>
          <w:rtl/>
        </w:rPr>
      </w:pPr>
      <w:bookmarkStart w:id="7" w:name="_Hlk15980827"/>
      <w:r w:rsidRPr="00887828">
        <w:rPr>
          <w:rStyle w:val="default"/>
          <w:rFonts w:cs="FrankRuehl" w:hint="cs"/>
          <w:b/>
          <w:bCs/>
          <w:vanish/>
          <w:sz w:val="20"/>
          <w:szCs w:val="20"/>
          <w:shd w:val="clear" w:color="auto" w:fill="FFFF99"/>
          <w:rtl/>
        </w:rPr>
        <w:t>הארכת תוקף (מס' 1682) תשע"ב-2011</w:t>
      </w:r>
    </w:p>
    <w:p w:rsidR="00405B59" w:rsidRPr="00887828" w:rsidRDefault="00405B59" w:rsidP="009B3301">
      <w:pPr>
        <w:pStyle w:val="P00"/>
        <w:spacing w:before="0"/>
        <w:ind w:left="0" w:right="1134"/>
        <w:rPr>
          <w:rStyle w:val="default"/>
          <w:rFonts w:cs="FrankRuehl"/>
          <w:vanish/>
          <w:sz w:val="20"/>
          <w:szCs w:val="20"/>
          <w:shd w:val="clear" w:color="auto" w:fill="FFFF99"/>
          <w:rtl/>
        </w:rPr>
      </w:pPr>
      <w:hyperlink r:id="rId13" w:history="1">
        <w:r w:rsidRPr="00887828">
          <w:rPr>
            <w:rStyle w:val="Hyperlink"/>
            <w:rFonts w:cs="FrankRuehl" w:hint="cs"/>
            <w:vanish/>
            <w:szCs w:val="20"/>
            <w:shd w:val="clear" w:color="auto" w:fill="FFFF99"/>
            <w:rtl/>
          </w:rPr>
          <w:t>קובץ המנשרים מס' 238</w:t>
        </w:r>
      </w:hyperlink>
      <w:r w:rsidRPr="00887828">
        <w:rPr>
          <w:rStyle w:val="default"/>
          <w:rFonts w:cs="FrankRuehl" w:hint="cs"/>
          <w:vanish/>
          <w:sz w:val="20"/>
          <w:szCs w:val="20"/>
          <w:shd w:val="clear" w:color="auto" w:fill="FFFF99"/>
          <w:rtl/>
        </w:rPr>
        <w:t xml:space="preserve"> מחודש מאי 2012 עמ' 6464</w:t>
      </w:r>
    </w:p>
    <w:p w:rsidR="00405B59" w:rsidRPr="00887828" w:rsidRDefault="00405B59" w:rsidP="009B3301">
      <w:pPr>
        <w:pStyle w:val="P00"/>
        <w:spacing w:before="0"/>
        <w:ind w:left="0" w:right="1134"/>
        <w:rPr>
          <w:rStyle w:val="default"/>
          <w:rFonts w:cs="FrankRuehl"/>
          <w:vanish/>
          <w:sz w:val="20"/>
          <w:szCs w:val="20"/>
          <w:shd w:val="clear" w:color="auto" w:fill="FFFF99"/>
          <w:rtl/>
        </w:rPr>
      </w:pPr>
      <w:r w:rsidRPr="00887828">
        <w:rPr>
          <w:rStyle w:val="default"/>
          <w:rFonts w:cs="FrankRuehl" w:hint="cs"/>
          <w:b/>
          <w:bCs/>
          <w:vanish/>
          <w:sz w:val="20"/>
          <w:szCs w:val="20"/>
          <w:shd w:val="clear" w:color="auto" w:fill="FFFF99"/>
          <w:rtl/>
        </w:rPr>
        <w:t>הארכת תוקף (מס' 1719) תשע"ג-2013</w:t>
      </w:r>
    </w:p>
    <w:p w:rsidR="00405B59" w:rsidRPr="00887828" w:rsidRDefault="00405B59" w:rsidP="009B3301">
      <w:pPr>
        <w:pStyle w:val="P00"/>
        <w:spacing w:before="0"/>
        <w:ind w:left="0" w:right="1134"/>
        <w:rPr>
          <w:rStyle w:val="default"/>
          <w:rFonts w:cs="FrankRuehl"/>
          <w:vanish/>
          <w:sz w:val="20"/>
          <w:szCs w:val="20"/>
          <w:shd w:val="clear" w:color="auto" w:fill="FFFF99"/>
          <w:rtl/>
        </w:rPr>
      </w:pPr>
      <w:hyperlink r:id="rId14" w:history="1">
        <w:r w:rsidRPr="00887828">
          <w:rPr>
            <w:rStyle w:val="Hyperlink"/>
            <w:rFonts w:cs="FrankRuehl" w:hint="cs"/>
            <w:vanish/>
            <w:szCs w:val="20"/>
            <w:shd w:val="clear" w:color="auto" w:fill="FFFF99"/>
            <w:rtl/>
          </w:rPr>
          <w:t>קובץ המנשרים מס' 240</w:t>
        </w:r>
      </w:hyperlink>
      <w:r w:rsidRPr="00887828">
        <w:rPr>
          <w:rStyle w:val="default"/>
          <w:rFonts w:cs="FrankRuehl" w:hint="cs"/>
          <w:vanish/>
          <w:sz w:val="20"/>
          <w:szCs w:val="20"/>
          <w:shd w:val="clear" w:color="auto" w:fill="FFFF99"/>
          <w:rtl/>
        </w:rPr>
        <w:t xml:space="preserve"> מחודש אוגוסט 2013 עמ' 6881</w:t>
      </w:r>
    </w:p>
    <w:p w:rsidR="00405B59" w:rsidRPr="00887828" w:rsidRDefault="00405B59" w:rsidP="009B3301">
      <w:pPr>
        <w:pStyle w:val="P00"/>
        <w:spacing w:before="0"/>
        <w:ind w:left="0" w:right="1134"/>
        <w:rPr>
          <w:rStyle w:val="default"/>
          <w:rFonts w:cs="FrankRuehl"/>
          <w:vanish/>
          <w:sz w:val="20"/>
          <w:szCs w:val="20"/>
          <w:shd w:val="clear" w:color="auto" w:fill="FFFF99"/>
          <w:rtl/>
        </w:rPr>
      </w:pPr>
      <w:r w:rsidRPr="00887828">
        <w:rPr>
          <w:rStyle w:val="default"/>
          <w:rFonts w:cs="FrankRuehl" w:hint="cs"/>
          <w:b/>
          <w:bCs/>
          <w:vanish/>
          <w:sz w:val="20"/>
          <w:szCs w:val="20"/>
          <w:shd w:val="clear" w:color="auto" w:fill="FFFF99"/>
          <w:rtl/>
        </w:rPr>
        <w:t>הארכת תוקף (מס' 1733) תשע"ד-2014</w:t>
      </w:r>
    </w:p>
    <w:p w:rsidR="00405B59" w:rsidRPr="00887828" w:rsidRDefault="00405B59" w:rsidP="009B3301">
      <w:pPr>
        <w:pStyle w:val="P00"/>
        <w:spacing w:before="0"/>
        <w:ind w:left="0" w:right="1134"/>
        <w:rPr>
          <w:rStyle w:val="default"/>
          <w:rFonts w:cs="FrankRuehl"/>
          <w:vanish/>
          <w:sz w:val="20"/>
          <w:szCs w:val="20"/>
          <w:shd w:val="clear" w:color="auto" w:fill="FFFF99"/>
          <w:rtl/>
        </w:rPr>
      </w:pPr>
      <w:hyperlink r:id="rId15" w:history="1">
        <w:r w:rsidRPr="00887828">
          <w:rPr>
            <w:rStyle w:val="Hyperlink"/>
            <w:rFonts w:cs="FrankRuehl" w:hint="cs"/>
            <w:vanish/>
            <w:szCs w:val="20"/>
            <w:shd w:val="clear" w:color="auto" w:fill="FFFF99"/>
            <w:rtl/>
          </w:rPr>
          <w:t>קובץ המנשרים מס' 241</w:t>
        </w:r>
      </w:hyperlink>
      <w:r w:rsidRPr="00887828">
        <w:rPr>
          <w:rStyle w:val="default"/>
          <w:rFonts w:cs="FrankRuehl" w:hint="cs"/>
          <w:vanish/>
          <w:sz w:val="20"/>
          <w:szCs w:val="20"/>
          <w:shd w:val="clear" w:color="auto" w:fill="FFFF99"/>
          <w:rtl/>
        </w:rPr>
        <w:t xml:space="preserve"> מחודש יולי 2014 עמ' 7051</w:t>
      </w:r>
    </w:p>
    <w:p w:rsidR="00405B59" w:rsidRPr="00887828" w:rsidRDefault="00405B59" w:rsidP="009B3301">
      <w:pPr>
        <w:pStyle w:val="P00"/>
        <w:spacing w:before="0"/>
        <w:ind w:left="0" w:right="1134"/>
        <w:rPr>
          <w:rStyle w:val="default"/>
          <w:rFonts w:cs="FrankRuehl"/>
          <w:vanish/>
          <w:sz w:val="20"/>
          <w:szCs w:val="20"/>
          <w:shd w:val="clear" w:color="auto" w:fill="FFFF99"/>
          <w:rtl/>
        </w:rPr>
      </w:pPr>
      <w:r w:rsidRPr="00887828">
        <w:rPr>
          <w:rStyle w:val="default"/>
          <w:rFonts w:cs="FrankRuehl" w:hint="cs"/>
          <w:b/>
          <w:bCs/>
          <w:vanish/>
          <w:sz w:val="20"/>
          <w:szCs w:val="20"/>
          <w:shd w:val="clear" w:color="auto" w:fill="FFFF99"/>
          <w:rtl/>
        </w:rPr>
        <w:t>הארכת תוקף (מס' 1763) תשע"ו-2016</w:t>
      </w:r>
    </w:p>
    <w:p w:rsidR="00405B59" w:rsidRPr="00887828" w:rsidRDefault="00405B59" w:rsidP="009B3301">
      <w:pPr>
        <w:pStyle w:val="P00"/>
        <w:spacing w:before="0"/>
        <w:ind w:left="0" w:right="1134"/>
        <w:rPr>
          <w:rStyle w:val="default"/>
          <w:rFonts w:cs="FrankRuehl"/>
          <w:vanish/>
          <w:sz w:val="20"/>
          <w:szCs w:val="20"/>
          <w:shd w:val="clear" w:color="auto" w:fill="FFFF99"/>
          <w:rtl/>
        </w:rPr>
      </w:pPr>
      <w:hyperlink r:id="rId16" w:history="1">
        <w:r w:rsidRPr="00887828">
          <w:rPr>
            <w:rStyle w:val="Hyperlink"/>
            <w:rFonts w:cs="FrankRuehl" w:hint="cs"/>
            <w:vanish/>
            <w:szCs w:val="20"/>
            <w:shd w:val="clear" w:color="auto" w:fill="FFFF99"/>
            <w:rtl/>
          </w:rPr>
          <w:t>קובץ המנשרים מס' 244</w:t>
        </w:r>
      </w:hyperlink>
      <w:r w:rsidRPr="00887828">
        <w:rPr>
          <w:rStyle w:val="default"/>
          <w:rFonts w:cs="FrankRuehl" w:hint="cs"/>
          <w:vanish/>
          <w:sz w:val="20"/>
          <w:szCs w:val="20"/>
          <w:shd w:val="clear" w:color="auto" w:fill="FFFF99"/>
          <w:rtl/>
        </w:rPr>
        <w:t xml:space="preserve"> מחודש אוגוסט 2016 עמ' 7453</w:t>
      </w:r>
    </w:p>
    <w:p w:rsidR="00405B59" w:rsidRPr="00887828" w:rsidRDefault="00405B59" w:rsidP="009B3301">
      <w:pPr>
        <w:pStyle w:val="P00"/>
        <w:spacing w:before="0"/>
        <w:ind w:left="0" w:right="1134"/>
        <w:rPr>
          <w:rStyle w:val="default"/>
          <w:rFonts w:cs="FrankRuehl"/>
          <w:vanish/>
          <w:sz w:val="20"/>
          <w:szCs w:val="20"/>
          <w:shd w:val="clear" w:color="auto" w:fill="FFFF99"/>
          <w:rtl/>
        </w:rPr>
      </w:pPr>
      <w:r w:rsidRPr="00887828">
        <w:rPr>
          <w:rStyle w:val="default"/>
          <w:rFonts w:cs="FrankRuehl" w:hint="cs"/>
          <w:b/>
          <w:bCs/>
          <w:vanish/>
          <w:sz w:val="20"/>
          <w:szCs w:val="20"/>
          <w:shd w:val="clear" w:color="auto" w:fill="FFFF99"/>
          <w:rtl/>
        </w:rPr>
        <w:t>הארכת תוקף (מס' 1794) תשע"ח-2018</w:t>
      </w:r>
    </w:p>
    <w:p w:rsidR="00405B59" w:rsidRPr="00887828" w:rsidRDefault="00405B59" w:rsidP="009B3301">
      <w:pPr>
        <w:pStyle w:val="P00"/>
        <w:spacing w:before="0"/>
        <w:ind w:left="0" w:right="1134"/>
        <w:rPr>
          <w:rStyle w:val="default"/>
          <w:rFonts w:cs="FrankRuehl"/>
          <w:vanish/>
          <w:sz w:val="20"/>
          <w:szCs w:val="20"/>
          <w:shd w:val="clear" w:color="auto" w:fill="FFFF99"/>
          <w:rtl/>
        </w:rPr>
      </w:pPr>
      <w:hyperlink r:id="rId17" w:history="1">
        <w:r w:rsidRPr="00887828">
          <w:rPr>
            <w:rStyle w:val="Hyperlink"/>
            <w:rFonts w:cs="FrankRuehl" w:hint="cs"/>
            <w:vanish/>
            <w:szCs w:val="20"/>
            <w:shd w:val="clear" w:color="auto" w:fill="FFFF99"/>
            <w:rtl/>
          </w:rPr>
          <w:t>קובץ המנשרים מס' 246</w:t>
        </w:r>
      </w:hyperlink>
      <w:r w:rsidRPr="00887828">
        <w:rPr>
          <w:rStyle w:val="default"/>
          <w:rFonts w:cs="FrankRuehl" w:hint="cs"/>
          <w:vanish/>
          <w:sz w:val="20"/>
          <w:szCs w:val="20"/>
          <w:shd w:val="clear" w:color="auto" w:fill="FFFF99"/>
          <w:rtl/>
        </w:rPr>
        <w:t xml:space="preserve"> מחודש מאי 2018 עמ' 8295</w:t>
      </w:r>
    </w:p>
    <w:p w:rsidR="009851ED" w:rsidRPr="00887828" w:rsidRDefault="009851ED" w:rsidP="009B3301">
      <w:pPr>
        <w:pStyle w:val="P00"/>
        <w:spacing w:before="0"/>
        <w:ind w:left="0" w:right="1134"/>
        <w:rPr>
          <w:rStyle w:val="default"/>
          <w:rFonts w:cs="FrankRuehl"/>
          <w:vanish/>
          <w:sz w:val="20"/>
          <w:szCs w:val="20"/>
          <w:shd w:val="clear" w:color="auto" w:fill="FFFF99"/>
          <w:rtl/>
        </w:rPr>
      </w:pPr>
      <w:r w:rsidRPr="00887828">
        <w:rPr>
          <w:rStyle w:val="default"/>
          <w:rFonts w:cs="FrankRuehl" w:hint="cs"/>
          <w:b/>
          <w:bCs/>
          <w:vanish/>
          <w:sz w:val="20"/>
          <w:szCs w:val="20"/>
          <w:shd w:val="clear" w:color="auto" w:fill="FFFF99"/>
          <w:rtl/>
        </w:rPr>
        <w:t>הארכת תוקף (מס' 1826) תש"ף-2019</w:t>
      </w:r>
    </w:p>
    <w:p w:rsidR="00887828" w:rsidRPr="00887828" w:rsidRDefault="00887828" w:rsidP="009B3301">
      <w:pPr>
        <w:pStyle w:val="P00"/>
        <w:spacing w:before="0"/>
        <w:ind w:left="0" w:right="1134"/>
        <w:rPr>
          <w:rStyle w:val="default"/>
          <w:rFonts w:cs="FrankRuehl"/>
          <w:b/>
          <w:bCs/>
          <w:vanish/>
          <w:sz w:val="20"/>
          <w:szCs w:val="20"/>
          <w:shd w:val="clear" w:color="auto" w:fill="FFFF99"/>
          <w:rtl/>
        </w:rPr>
      </w:pPr>
      <w:r w:rsidRPr="00887828">
        <w:rPr>
          <w:rStyle w:val="default"/>
          <w:rFonts w:cs="FrankRuehl" w:hint="cs"/>
          <w:b/>
          <w:bCs/>
          <w:vanish/>
          <w:sz w:val="20"/>
          <w:szCs w:val="20"/>
          <w:shd w:val="clear" w:color="auto" w:fill="FFFF99"/>
          <w:rtl/>
        </w:rPr>
        <w:t>הארכת תוקף (מס' 1980) תשפ"א-2020</w:t>
      </w:r>
    </w:p>
    <w:p w:rsidR="00887828" w:rsidRPr="00887828" w:rsidRDefault="00887828" w:rsidP="009B3301">
      <w:pPr>
        <w:pStyle w:val="P00"/>
        <w:spacing w:before="0"/>
        <w:ind w:left="0" w:right="1134"/>
        <w:rPr>
          <w:rStyle w:val="default"/>
          <w:rFonts w:cs="FrankRuehl" w:hint="cs"/>
          <w:vanish/>
          <w:sz w:val="20"/>
          <w:szCs w:val="20"/>
          <w:shd w:val="clear" w:color="auto" w:fill="FFFF99"/>
          <w:rtl/>
        </w:rPr>
      </w:pPr>
      <w:r w:rsidRPr="00887828">
        <w:rPr>
          <w:rStyle w:val="default"/>
          <w:rFonts w:cs="FrankRuehl" w:hint="cs"/>
          <w:b/>
          <w:bCs/>
          <w:vanish/>
          <w:sz w:val="20"/>
          <w:szCs w:val="20"/>
          <w:shd w:val="clear" w:color="auto" w:fill="FFFF99"/>
          <w:rtl/>
        </w:rPr>
        <w:t>הארכת תוקף (מס' 2094) תשפ"ב-2021</w:t>
      </w:r>
    </w:p>
    <w:bookmarkEnd w:id="7"/>
    <w:p w:rsidR="009B3301" w:rsidRPr="009B3301" w:rsidRDefault="009B3301" w:rsidP="009B3301">
      <w:pPr>
        <w:pStyle w:val="P00"/>
        <w:spacing w:before="0"/>
        <w:ind w:left="0" w:right="1134"/>
        <w:rPr>
          <w:rStyle w:val="default"/>
          <w:rFonts w:cs="FrankRuehl" w:hint="cs"/>
          <w:sz w:val="2"/>
          <w:szCs w:val="2"/>
          <w:shd w:val="clear" w:color="auto" w:fill="FFFF99"/>
          <w:rtl/>
        </w:rPr>
      </w:pPr>
      <w:r w:rsidRPr="00887828">
        <w:rPr>
          <w:rStyle w:val="default"/>
          <w:rFonts w:cs="FrankRuehl" w:hint="cs"/>
          <w:b/>
          <w:bCs/>
          <w:vanish/>
          <w:sz w:val="20"/>
          <w:szCs w:val="20"/>
          <w:shd w:val="clear" w:color="auto" w:fill="FFFF99"/>
          <w:rtl/>
        </w:rPr>
        <w:t>ביטול סעיף 3א</w:t>
      </w:r>
      <w:bookmarkEnd w:id="6"/>
    </w:p>
    <w:p w:rsidR="00155933" w:rsidRDefault="00155933">
      <w:pPr>
        <w:pStyle w:val="P00"/>
        <w:spacing w:before="72"/>
        <w:ind w:left="0" w:right="1134"/>
        <w:rPr>
          <w:rStyle w:val="default"/>
          <w:rFonts w:cs="FrankRuehl" w:hint="cs"/>
          <w:rtl/>
        </w:rPr>
      </w:pPr>
      <w:bookmarkStart w:id="8" w:name="Seif4"/>
      <w:bookmarkEnd w:id="8"/>
      <w:r>
        <w:rPr>
          <w:rFonts w:cs="Miriam"/>
          <w:lang w:val="he-IL"/>
        </w:rPr>
        <w:pict>
          <v:rect id="_x0000_s2277" style="position:absolute;left:0;text-align:left;margin-left:464.35pt;margin-top:7.1pt;width:75.05pt;height:16.8pt;z-index:251655168" o:allowincell="f" filled="f" stroked="f" strokecolor="lime" strokeweight=".25pt">
            <v:textbox style="mso-next-textbox:#_x0000_s2277" inset="0,0,0,0">
              <w:txbxContent>
                <w:p w:rsidR="00155933" w:rsidRDefault="00155933">
                  <w:pPr>
                    <w:spacing w:line="160" w:lineRule="exact"/>
                    <w:rPr>
                      <w:rFonts w:cs="Miriam" w:hint="cs"/>
                      <w:noProof/>
                      <w:sz w:val="18"/>
                      <w:szCs w:val="18"/>
                      <w:rtl/>
                    </w:rPr>
                  </w:pPr>
                  <w:r>
                    <w:rPr>
                      <w:rFonts w:cs="Miriam" w:hint="cs"/>
                      <w:sz w:val="18"/>
                      <w:szCs w:val="18"/>
                      <w:rtl/>
                    </w:rPr>
                    <w:t>כופר</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עבר אדם על הוראות צו זה או הפר תנאי בהיתר שניתן מכוחו או נחשד בכך רשאי הממונה, בהסכמת אותו אדם, לקחת מידו כופר כסף בסכום שלא יעלה על הקנס הגבוה ביותר שניתן להטיל בשל אותה עבירה, ומשעשה כן יופסק כל הליך משפטי לענין העבירה; אולם אם הוגש כתב אישום אין לקחת כופר כסף אלא אם היועץ המשפטי ציווה על עיכוב הליכי המשפט.</w:t>
      </w:r>
    </w:p>
    <w:p w:rsidR="00155933" w:rsidRDefault="001559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שילם אדם כופר לפי סעיף קטן (א) ייעשה בטובין בהם נעברה העבירה ככל שיורה הממונה.</w:t>
      </w:r>
    </w:p>
    <w:p w:rsidR="00155933" w:rsidRDefault="00155933">
      <w:pPr>
        <w:pStyle w:val="P00"/>
        <w:spacing w:before="72"/>
        <w:ind w:left="0" w:right="1134"/>
        <w:rPr>
          <w:rStyle w:val="default"/>
          <w:rFonts w:cs="FrankRuehl" w:hint="cs"/>
          <w:rtl/>
        </w:rPr>
      </w:pPr>
      <w:bookmarkStart w:id="9" w:name="Seif5"/>
      <w:bookmarkEnd w:id="9"/>
      <w:r>
        <w:rPr>
          <w:rFonts w:cs="Miriam"/>
          <w:lang w:val="he-IL"/>
        </w:rPr>
        <w:pict>
          <v:rect id="_x0000_s2318" style="position:absolute;left:0;text-align:left;margin-left:464.35pt;margin-top:7.1pt;width:75.05pt;height:10.15pt;z-index:251656192" o:allowincell="f" filled="f" stroked="f" strokecolor="lime" strokeweight=".25pt">
            <v:textbox style="mso-next-textbox:#_x0000_s2318" inset="0,0,0,0">
              <w:txbxContent>
                <w:p w:rsidR="00155933" w:rsidRDefault="00155933">
                  <w:pPr>
                    <w:spacing w:line="160" w:lineRule="exact"/>
                    <w:rPr>
                      <w:rFonts w:cs="Miriam" w:hint="cs"/>
                      <w:noProof/>
                      <w:sz w:val="18"/>
                      <w:szCs w:val="18"/>
                      <w:rtl/>
                    </w:rPr>
                  </w:pPr>
                  <w:r>
                    <w:rPr>
                      <w:rFonts w:cs="Miriam" w:hint="cs"/>
                      <w:sz w:val="18"/>
                      <w:szCs w:val="18"/>
                      <w:rtl/>
                    </w:rPr>
                    <w:t>עבירות</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 xml:space="preserve">העובר על הוראות צו זה או המפר תנאי בהיתר שניתן מכוחו, דינו </w:t>
      </w:r>
      <w:r>
        <w:rPr>
          <w:rStyle w:val="default"/>
          <w:rFonts w:cs="FrankRuehl"/>
          <w:rtl/>
        </w:rPr>
        <w:t>–</w:t>
      </w:r>
      <w:r>
        <w:rPr>
          <w:rStyle w:val="default"/>
          <w:rFonts w:cs="FrankRuehl" w:hint="cs"/>
          <w:rtl/>
        </w:rPr>
        <w:t xml:space="preserve"> מאסר חמש שנים.</w:t>
      </w:r>
    </w:p>
    <w:p w:rsidR="00155933" w:rsidRDefault="00155933">
      <w:pPr>
        <w:pStyle w:val="P00"/>
        <w:spacing w:before="72"/>
        <w:ind w:left="0" w:right="1134"/>
        <w:rPr>
          <w:rStyle w:val="default"/>
          <w:rFonts w:cs="FrankRuehl" w:hint="cs"/>
          <w:rtl/>
        </w:rPr>
      </w:pPr>
      <w:bookmarkStart w:id="10" w:name="Seif6"/>
      <w:bookmarkEnd w:id="10"/>
      <w:r>
        <w:rPr>
          <w:rFonts w:cs="Miriam"/>
          <w:lang w:val="he-IL"/>
        </w:rPr>
        <w:pict>
          <v:rect id="_x0000_s2319" style="position:absolute;left:0;text-align:left;margin-left:464.35pt;margin-top:7.1pt;width:75.05pt;height:10.15pt;z-index:251657216" o:allowincell="f" filled="f" stroked="f" strokecolor="lime" strokeweight=".25pt">
            <v:textbox style="mso-next-textbox:#_x0000_s2319" inset="0,0,0,0">
              <w:txbxContent>
                <w:p w:rsidR="00155933" w:rsidRDefault="00155933">
                  <w:pPr>
                    <w:spacing w:line="160" w:lineRule="exact"/>
                    <w:rPr>
                      <w:rFonts w:cs="Miriam" w:hint="cs"/>
                      <w:noProof/>
                      <w:sz w:val="18"/>
                      <w:szCs w:val="18"/>
                      <w:rtl/>
                    </w:rPr>
                  </w:pPr>
                  <w:r>
                    <w:rPr>
                      <w:rFonts w:cs="Miriam" w:hint="cs"/>
                      <w:sz w:val="18"/>
                      <w:szCs w:val="18"/>
                      <w:rtl/>
                    </w:rPr>
                    <w:t>תיקון צוים</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בצו בדבר הקמת מינהל אזרחי (יהודה והשומרון) (מס' 947), התשמ"ב-1981, בתוספת השניה, בסופה יבוא:</w:t>
      </w:r>
    </w:p>
    <w:p w:rsidR="00155933" w:rsidRDefault="00155933">
      <w:pPr>
        <w:pStyle w:val="P00"/>
        <w:spacing w:before="72"/>
        <w:ind w:left="1021" w:right="1134"/>
        <w:rPr>
          <w:rStyle w:val="default"/>
          <w:rFonts w:cs="FrankRuehl" w:hint="cs"/>
          <w:rtl/>
        </w:rPr>
      </w:pPr>
      <w:r>
        <w:rPr>
          <w:rStyle w:val="default"/>
          <w:rFonts w:cs="FrankRuehl" w:hint="cs"/>
          <w:rtl/>
        </w:rPr>
        <w:t>"צו בדבר העברת טובין (יהודה והשומרון) (מס' 1252), התשמ"ח-1988";</w:t>
      </w:r>
    </w:p>
    <w:p w:rsidR="00155933" w:rsidRDefault="001559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בצו בדבר סמכויות מכס (יהודה והשומרון) (מס' 309), התשכ"ט-1969 </w:t>
      </w:r>
      <w:r>
        <w:rPr>
          <w:rStyle w:val="default"/>
          <w:rFonts w:cs="FrankRuehl"/>
          <w:rtl/>
        </w:rPr>
        <w:t>–</w:t>
      </w:r>
      <w:r>
        <w:rPr>
          <w:rStyle w:val="default"/>
          <w:rFonts w:cs="FrankRuehl" w:hint="cs"/>
          <w:rtl/>
        </w:rPr>
        <w:t xml:space="preserve"> בסעיף 1, בהגדרת "טובין" ובהגדרת "עבירות מכס שבתחיקת בטחון", במקום </w:t>
      </w:r>
      <w:r>
        <w:rPr>
          <w:rStyle w:val="default"/>
          <w:rFonts w:cs="FrankRuehl"/>
          <w:rtl/>
        </w:rPr>
        <w:t>–</w:t>
      </w:r>
    </w:p>
    <w:p w:rsidR="00155933" w:rsidRDefault="00155933">
      <w:pPr>
        <w:pStyle w:val="P00"/>
        <w:spacing w:before="72"/>
        <w:ind w:left="1021" w:right="1134"/>
        <w:rPr>
          <w:rStyle w:val="default"/>
          <w:rFonts w:cs="FrankRuehl" w:hint="cs"/>
          <w:rtl/>
        </w:rPr>
      </w:pPr>
      <w:r>
        <w:rPr>
          <w:rStyle w:val="default"/>
          <w:rFonts w:cs="FrankRuehl" w:hint="cs"/>
          <w:rtl/>
        </w:rPr>
        <w:t>"צו בדבר שטחים סגורים (איסור העברת טובין) (יהודה והשומרון) (מס' 49), תשכ"ז-1967", יבוא:</w:t>
      </w:r>
    </w:p>
    <w:p w:rsidR="00155933" w:rsidRDefault="00155933">
      <w:pPr>
        <w:pStyle w:val="P00"/>
        <w:spacing w:before="72"/>
        <w:ind w:left="1021" w:right="1134"/>
        <w:rPr>
          <w:rStyle w:val="default"/>
          <w:rFonts w:cs="FrankRuehl" w:hint="cs"/>
          <w:rtl/>
        </w:rPr>
      </w:pPr>
      <w:r>
        <w:rPr>
          <w:rStyle w:val="default"/>
          <w:rFonts w:cs="FrankRuehl" w:hint="cs"/>
          <w:rtl/>
        </w:rPr>
        <w:t>"צו בדבר העברת טובין (יהודה והשומרון) (מס' 1252), התשמ"ח-1988".</w:t>
      </w:r>
    </w:p>
    <w:p w:rsidR="00155933" w:rsidRDefault="001559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בצו בדבר ועדות עררים (יהודה והשומרון) (מס' 172), תשכ"ח-1967, בתוספת, במקום פרט (6) יבוא:</w:t>
      </w:r>
    </w:p>
    <w:p w:rsidR="00155933" w:rsidRDefault="00155933">
      <w:pPr>
        <w:pStyle w:val="P00"/>
        <w:spacing w:before="72"/>
        <w:ind w:left="1021" w:right="1134"/>
        <w:rPr>
          <w:rStyle w:val="default"/>
          <w:rFonts w:cs="FrankRuehl" w:hint="cs"/>
          <w:rtl/>
        </w:rPr>
      </w:pPr>
      <w:r>
        <w:rPr>
          <w:rStyle w:val="default"/>
          <w:rFonts w:cs="FrankRuehl" w:hint="cs"/>
          <w:rtl/>
        </w:rPr>
        <w:t>"סווג טובין לפי הצו בדבר העברת טובין (יהודה והשומרון) (מס' 1252), התשמ"ח-1988".</w:t>
      </w:r>
    </w:p>
    <w:p w:rsidR="00155933" w:rsidRDefault="00155933">
      <w:pPr>
        <w:pStyle w:val="P00"/>
        <w:spacing w:before="72"/>
        <w:ind w:left="0" w:right="1134"/>
        <w:rPr>
          <w:rStyle w:val="default"/>
          <w:rFonts w:cs="FrankRuehl" w:hint="cs"/>
          <w:rtl/>
        </w:rPr>
      </w:pPr>
      <w:bookmarkStart w:id="11" w:name="Seif7"/>
      <w:bookmarkEnd w:id="11"/>
      <w:r>
        <w:rPr>
          <w:rFonts w:cs="Miriam"/>
          <w:lang w:val="he-IL"/>
        </w:rPr>
        <w:pict>
          <v:rect id="_x0000_s2320" style="position:absolute;left:0;text-align:left;margin-left:464.35pt;margin-top:7.1pt;width:75.05pt;height:10.15pt;z-index:251658240" o:allowincell="f" filled="f" stroked="f" strokecolor="lime" strokeweight=".25pt">
            <v:textbox style="mso-next-textbox:#_x0000_s2320" inset="0,0,0,0">
              <w:txbxContent>
                <w:p w:rsidR="00155933" w:rsidRDefault="00155933">
                  <w:pPr>
                    <w:spacing w:line="160" w:lineRule="exact"/>
                    <w:rPr>
                      <w:rFonts w:cs="Miriam" w:hint="cs"/>
                      <w:noProof/>
                      <w:sz w:val="18"/>
                      <w:szCs w:val="18"/>
                      <w:rtl/>
                    </w:rPr>
                  </w:pPr>
                  <w:r>
                    <w:rPr>
                      <w:rFonts w:cs="Miriam" w:hint="cs"/>
                      <w:sz w:val="18"/>
                      <w:szCs w:val="18"/>
                      <w:rtl/>
                    </w:rPr>
                    <w:t>הוראות</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הממונה רשאי ליתן הוראות לביצוע צו זה, לרבות הוראות בדבר הסדרת הבאת טובין לאזור והוצאת טובין ממנו.</w:t>
      </w:r>
    </w:p>
    <w:p w:rsidR="00155933" w:rsidRDefault="00155933">
      <w:pPr>
        <w:pStyle w:val="P00"/>
        <w:spacing w:before="72"/>
        <w:ind w:left="0" w:right="1134"/>
        <w:rPr>
          <w:rStyle w:val="default"/>
          <w:rFonts w:cs="FrankRuehl" w:hint="cs"/>
          <w:rtl/>
        </w:rPr>
      </w:pPr>
      <w:bookmarkStart w:id="12" w:name="Seif8"/>
      <w:bookmarkEnd w:id="12"/>
      <w:r>
        <w:rPr>
          <w:rFonts w:cs="Miriam"/>
          <w:lang w:val="he-IL"/>
        </w:rPr>
        <w:pict>
          <v:rect id="_x0000_s2321" style="position:absolute;left:0;text-align:left;margin-left:464.35pt;margin-top:7.1pt;width:75.05pt;height:10.15pt;z-index:251659264" o:allowincell="f" filled="f" stroked="f" strokecolor="lime" strokeweight=".25pt">
            <v:textbox style="mso-next-textbox:#_x0000_s2321" inset="0,0,0,0">
              <w:txbxContent>
                <w:p w:rsidR="00155933" w:rsidRDefault="00155933">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 xml:space="preserve">הצו בדבר שטחים סגורים (איסור העברת טובין) (יהודה והשומרון) (מס' 49), התשכ"ז-1967 והצו בדבר העברת תוצרת חקלאית (יהודה והשומרון) (מס' 47), התשכ"ז-1967 </w:t>
      </w:r>
      <w:r>
        <w:rPr>
          <w:rStyle w:val="default"/>
          <w:rFonts w:cs="FrankRuehl"/>
          <w:rtl/>
        </w:rPr>
        <w:t>–</w:t>
      </w:r>
      <w:r>
        <w:rPr>
          <w:rStyle w:val="default"/>
          <w:rFonts w:cs="FrankRuehl" w:hint="cs"/>
          <w:rtl/>
        </w:rPr>
        <w:t xml:space="preserve"> בטלים.</w:t>
      </w:r>
    </w:p>
    <w:p w:rsidR="00155933" w:rsidRDefault="00155933">
      <w:pPr>
        <w:pStyle w:val="P00"/>
        <w:spacing w:before="72"/>
        <w:ind w:left="0" w:right="1134"/>
        <w:rPr>
          <w:rStyle w:val="default"/>
          <w:rFonts w:cs="FrankRuehl" w:hint="cs"/>
          <w:rtl/>
        </w:rPr>
      </w:pPr>
      <w:bookmarkStart w:id="13" w:name="Seif9"/>
      <w:bookmarkEnd w:id="13"/>
      <w:r>
        <w:rPr>
          <w:rFonts w:cs="Miriam"/>
          <w:lang w:val="he-IL"/>
        </w:rPr>
        <w:pict>
          <v:rect id="_x0000_s2342" style="position:absolute;left:0;text-align:left;margin-left:464.35pt;margin-top:7.1pt;width:75.05pt;height:10.15pt;z-index:251660288" o:allowincell="f" filled="f" stroked="f" strokecolor="lime" strokeweight=".25pt">
            <v:textbox style="mso-next-textbox:#_x0000_s2342" inset="0,0,0,0">
              <w:txbxContent>
                <w:p w:rsidR="00155933" w:rsidRDefault="00155933">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תחילת תוקפו של צו זה ביום חתימתו.</w:t>
      </w:r>
    </w:p>
    <w:p w:rsidR="00155933" w:rsidRDefault="00155933">
      <w:pPr>
        <w:pStyle w:val="P00"/>
        <w:spacing w:before="72"/>
        <w:ind w:left="0" w:right="1134"/>
        <w:rPr>
          <w:rStyle w:val="default"/>
          <w:rFonts w:cs="FrankRuehl" w:hint="cs"/>
          <w:rtl/>
        </w:rPr>
      </w:pPr>
      <w:bookmarkStart w:id="14" w:name="Seif10"/>
      <w:bookmarkEnd w:id="14"/>
      <w:r>
        <w:rPr>
          <w:rFonts w:cs="Miriam"/>
          <w:lang w:val="he-IL"/>
        </w:rPr>
        <w:pict>
          <v:rect id="_x0000_s2343" style="position:absolute;left:0;text-align:left;margin-left:464.35pt;margin-top:7.1pt;width:75.05pt;height:10.15pt;z-index:251661312" o:allowincell="f" filled="f" stroked="f" strokecolor="lime" strokeweight=".25pt">
            <v:textbox style="mso-next-textbox:#_x0000_s2343" inset="0,0,0,0">
              <w:txbxContent>
                <w:p w:rsidR="00155933" w:rsidRDefault="00155933">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צו זה ייקרא: "צו בדבר העברת טובין (יהודה והשומרון) (מס' 1252), התשמ"ח-1988".</w:t>
      </w:r>
    </w:p>
    <w:p w:rsidR="00155933" w:rsidRDefault="00155933">
      <w:pPr>
        <w:pStyle w:val="P00"/>
        <w:spacing w:before="72"/>
        <w:ind w:left="0" w:right="1134"/>
        <w:rPr>
          <w:rStyle w:val="default"/>
          <w:rFonts w:cs="FrankRuehl" w:hint="cs"/>
          <w:rtl/>
        </w:rPr>
      </w:pPr>
    </w:p>
    <w:p w:rsidR="004717EA" w:rsidRDefault="004717EA">
      <w:pPr>
        <w:pStyle w:val="P00"/>
        <w:spacing w:before="72"/>
        <w:ind w:left="0" w:right="1134"/>
        <w:rPr>
          <w:rStyle w:val="default"/>
          <w:rFonts w:cs="FrankRuehl" w:hint="cs"/>
          <w:rtl/>
        </w:rPr>
      </w:pPr>
    </w:p>
    <w:p w:rsidR="00155933" w:rsidRDefault="0015593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י"ט באלול התשמ"ח (1 בספטמבר 1988)</w:t>
      </w:r>
      <w:r>
        <w:rPr>
          <w:rStyle w:val="default"/>
          <w:rFonts w:cs="FrankRuehl" w:hint="cs"/>
          <w:rtl/>
        </w:rPr>
        <w:tab/>
        <w:t>ע</w:t>
      </w:r>
      <w:r>
        <w:rPr>
          <w:rFonts w:cs="FrankRuehl" w:hint="cs"/>
          <w:rtl/>
        </w:rPr>
        <w:t>מרם מצנע, אלוף</w:t>
      </w:r>
    </w:p>
    <w:p w:rsidR="00155933" w:rsidRDefault="00155933" w:rsidP="004717EA">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מפקד כוחות צה"ל</w:t>
      </w:r>
    </w:p>
    <w:p w:rsidR="00155933" w:rsidRDefault="00155933" w:rsidP="004717EA">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באזור יהודה והשומרון</w:t>
      </w:r>
    </w:p>
    <w:p w:rsidR="00155933" w:rsidRDefault="00155933">
      <w:pPr>
        <w:pStyle w:val="sig-0"/>
        <w:tabs>
          <w:tab w:val="clear" w:pos="4820"/>
          <w:tab w:val="center" w:pos="5670"/>
        </w:tabs>
        <w:ind w:left="0" w:right="1134"/>
        <w:rPr>
          <w:rFonts w:cs="FrankRuehl" w:hint="cs"/>
          <w:sz w:val="26"/>
          <w:rtl/>
        </w:rPr>
      </w:pPr>
    </w:p>
    <w:p w:rsidR="00155933" w:rsidRDefault="00155933">
      <w:pPr>
        <w:pStyle w:val="sig-0"/>
        <w:tabs>
          <w:tab w:val="clear" w:pos="4820"/>
          <w:tab w:val="center" w:pos="5670"/>
        </w:tabs>
        <w:ind w:left="0" w:right="1134"/>
        <w:rPr>
          <w:rFonts w:cs="FrankRuehl" w:hint="cs"/>
          <w:sz w:val="26"/>
          <w:rtl/>
        </w:rPr>
      </w:pPr>
    </w:p>
    <w:p w:rsidR="000D6A70" w:rsidRDefault="000D6A70">
      <w:pPr>
        <w:pStyle w:val="sig-0"/>
        <w:ind w:left="0" w:right="1134"/>
        <w:rPr>
          <w:rFonts w:cs="FrankRuehl"/>
          <w:sz w:val="26"/>
          <w:rtl/>
        </w:rPr>
      </w:pPr>
    </w:p>
    <w:p w:rsidR="000D6A70" w:rsidRDefault="000D6A70" w:rsidP="000D6A70">
      <w:pPr>
        <w:pStyle w:val="sig-0"/>
        <w:ind w:left="0" w:right="1134"/>
        <w:jc w:val="center"/>
        <w:rPr>
          <w:rFonts w:cs="David"/>
          <w:color w:val="0000FF"/>
          <w:sz w:val="26"/>
          <w:szCs w:val="24"/>
          <w:u w:val="single"/>
          <w:rtl/>
        </w:rPr>
      </w:pPr>
      <w:hyperlink r:id="rId18" w:history="1">
        <w:r>
          <w:rPr>
            <w:rFonts w:cs="David"/>
            <w:color w:val="0000FF"/>
            <w:sz w:val="26"/>
            <w:szCs w:val="24"/>
            <w:u w:val="single"/>
            <w:rtl/>
          </w:rPr>
          <w:t>הודעה למנויים על עריכה ושינויים במסמכי פסיקה, חקיקה ועוד באתר נבו - הקש כאן</w:t>
        </w:r>
      </w:hyperlink>
    </w:p>
    <w:p w:rsidR="00155933" w:rsidRPr="000D6A70" w:rsidRDefault="00155933" w:rsidP="000D6A70">
      <w:pPr>
        <w:pStyle w:val="sig-0"/>
        <w:ind w:left="0" w:right="1134"/>
        <w:jc w:val="center"/>
        <w:rPr>
          <w:rFonts w:cs="David"/>
          <w:color w:val="0000FF"/>
          <w:sz w:val="26"/>
          <w:szCs w:val="24"/>
          <w:u w:val="single"/>
          <w:rtl/>
        </w:rPr>
      </w:pPr>
    </w:p>
    <w:sectPr w:rsidR="00155933" w:rsidRPr="000D6A70">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4A6D" w:rsidRDefault="00514A6D">
      <w:r>
        <w:separator/>
      </w:r>
    </w:p>
  </w:endnote>
  <w:endnote w:type="continuationSeparator" w:id="0">
    <w:p w:rsidR="00514A6D" w:rsidRDefault="0051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933" w:rsidRDefault="001559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55933" w:rsidRDefault="001559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55933" w:rsidRDefault="001559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6A70">
      <w:rPr>
        <w:rFonts w:cs="TopType Jerushalmi"/>
        <w:noProof/>
        <w:color w:val="000000"/>
        <w:sz w:val="14"/>
        <w:szCs w:val="14"/>
      </w:rPr>
      <w:t>Y:\000000000000-law\yael\10-03-16\666_011.doc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933" w:rsidRDefault="001559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A60FE">
      <w:rPr>
        <w:rFonts w:hAnsi="FrankRuehl" w:cs="FrankRuehl"/>
        <w:noProof/>
        <w:sz w:val="24"/>
        <w:szCs w:val="24"/>
        <w:rtl/>
      </w:rPr>
      <w:t>3</w:t>
    </w:r>
    <w:r>
      <w:rPr>
        <w:rFonts w:hAnsi="FrankRuehl" w:cs="FrankRuehl"/>
        <w:sz w:val="24"/>
        <w:szCs w:val="24"/>
        <w:rtl/>
      </w:rPr>
      <w:fldChar w:fldCharType="end"/>
    </w:r>
  </w:p>
  <w:p w:rsidR="00155933" w:rsidRDefault="001559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55933" w:rsidRDefault="001559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6A70">
      <w:rPr>
        <w:rFonts w:cs="TopType Jerushalmi"/>
        <w:noProof/>
        <w:color w:val="000000"/>
        <w:sz w:val="14"/>
        <w:szCs w:val="14"/>
      </w:rPr>
      <w:t>Y:\000000000000-law\yael\10-03-16\666_011.doc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4A6D" w:rsidRDefault="00514A6D">
      <w:pPr>
        <w:pStyle w:val="a5"/>
        <w:rPr>
          <w:rFonts w:cs="David"/>
          <w:sz w:val="24"/>
          <w:szCs w:val="24"/>
        </w:rPr>
      </w:pPr>
      <w:r>
        <w:separator/>
      </w:r>
    </w:p>
  </w:footnote>
  <w:footnote w:type="continuationSeparator" w:id="0">
    <w:p w:rsidR="00514A6D" w:rsidRDefault="00514A6D">
      <w:r>
        <w:continuationSeparator/>
      </w:r>
    </w:p>
  </w:footnote>
  <w:footnote w:id="1">
    <w:p w:rsidR="00155933" w:rsidRDefault="001559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77</w:t>
        </w:r>
      </w:hyperlink>
      <w:r>
        <w:rPr>
          <w:rFonts w:cs="FrankRuehl" w:hint="cs"/>
          <w:rtl/>
        </w:rPr>
        <w:t xml:space="preserve"> מיום 13.2.1991 עמ' 76.</w:t>
      </w:r>
    </w:p>
    <w:p w:rsidR="00155933" w:rsidRDefault="001559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קובץ המנשרים מס' 145</w:t>
        </w:r>
      </w:hyperlink>
      <w:r>
        <w:rPr>
          <w:rFonts w:cs="FrankRuehl" w:hint="cs"/>
          <w:rtl/>
        </w:rPr>
        <w:t xml:space="preserve"> מחודש פברואר 1993 עמ' 1098 </w:t>
      </w:r>
      <w:r>
        <w:rPr>
          <w:rFonts w:cs="FrankRuehl"/>
          <w:rtl/>
        </w:rPr>
        <w:t>–</w:t>
      </w:r>
      <w:r>
        <w:rPr>
          <w:rFonts w:cs="FrankRuehl" w:hint="cs"/>
          <w:rtl/>
        </w:rPr>
        <w:t xml:space="preserve"> תיקון מס' 1 (מס' 1389) תשנ"ג-1993; תחילתו ביום 23.2.1993.</w:t>
      </w:r>
    </w:p>
    <w:p w:rsidR="00155933" w:rsidRDefault="001559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קובץ המנשרים מס' 210</w:t>
        </w:r>
      </w:hyperlink>
      <w:r>
        <w:rPr>
          <w:rFonts w:cs="FrankRuehl" w:hint="cs"/>
          <w:rtl/>
        </w:rPr>
        <w:t xml:space="preserve"> מחודש ינואר 2006 עמ' 4056 </w:t>
      </w:r>
      <w:r>
        <w:rPr>
          <w:rFonts w:cs="FrankRuehl"/>
          <w:rtl/>
        </w:rPr>
        <w:t>–</w:t>
      </w:r>
      <w:r>
        <w:rPr>
          <w:rFonts w:cs="FrankRuehl" w:hint="cs"/>
          <w:rtl/>
        </w:rPr>
        <w:t xml:space="preserve"> תיקון מס' 2 (מס' 1570) תשס"ה-2005; תחילתו ביום 8.8.2005.</w:t>
      </w:r>
    </w:p>
    <w:p w:rsidR="00155933" w:rsidRDefault="001559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קובץ המנשרים מס' 219</w:t>
        </w:r>
      </w:hyperlink>
      <w:r>
        <w:rPr>
          <w:rFonts w:cs="FrankRuehl" w:hint="cs"/>
          <w:rtl/>
        </w:rPr>
        <w:t xml:space="preserve"> מחודש אפריל 2007 עמ' 4460 </w:t>
      </w:r>
      <w:r>
        <w:rPr>
          <w:rFonts w:cs="FrankRuehl"/>
          <w:rtl/>
        </w:rPr>
        <w:t>–</w:t>
      </w:r>
      <w:r>
        <w:rPr>
          <w:rFonts w:cs="FrankRuehl" w:hint="cs"/>
          <w:rtl/>
        </w:rPr>
        <w:t xml:space="preserve"> תיקון מס' 3 (מס' 1583) תשס"ז-2007; תחילתו ביום 25.1.2007.</w:t>
      </w:r>
    </w:p>
    <w:p w:rsidR="00FC2FDC" w:rsidRDefault="00FC2FDC" w:rsidP="00FC2F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9B3301" w:rsidRPr="00FC2FDC">
          <w:rPr>
            <w:rStyle w:val="Hyperlink"/>
            <w:rFonts w:cs="FrankRuehl" w:hint="cs"/>
            <w:rtl/>
          </w:rPr>
          <w:t>קובץ המנשרים מס' 237</w:t>
        </w:r>
      </w:hyperlink>
      <w:r w:rsidR="009B3301">
        <w:rPr>
          <w:rFonts w:cs="FrankRuehl" w:hint="cs"/>
          <w:rtl/>
        </w:rPr>
        <w:t xml:space="preserve"> מחודש אפריל 2011 עמ' 6328 </w:t>
      </w:r>
      <w:r w:rsidR="009B3301">
        <w:rPr>
          <w:rFonts w:cs="FrankRuehl"/>
          <w:rtl/>
        </w:rPr>
        <w:t>–</w:t>
      </w:r>
      <w:r w:rsidR="009B3301">
        <w:rPr>
          <w:rFonts w:cs="FrankRuehl" w:hint="cs"/>
          <w:rtl/>
        </w:rPr>
        <w:t xml:space="preserve"> הוראת שעה בסעיף 9(א) לצו בדבר הסדרת הסמכויות בנקודות מעבר (הוראת שעה) (יהודה ושומרון) (מס' 1665), תשע"א-2010; תוקפו מיום 13.1.2011 עד יום </w:t>
      </w:r>
      <w:r w:rsidR="007D5D4A">
        <w:rPr>
          <w:rFonts w:cs="FrankRuehl" w:hint="cs"/>
          <w:rtl/>
        </w:rPr>
        <w:t>31.12.20</w:t>
      </w:r>
      <w:r w:rsidR="009851ED">
        <w:rPr>
          <w:rFonts w:cs="FrankRuehl" w:hint="cs"/>
          <w:rtl/>
        </w:rPr>
        <w:t>20</w:t>
      </w:r>
      <w:r w:rsidR="009B3301">
        <w:rPr>
          <w:rFonts w:cs="FrankRuehl" w:hint="cs"/>
          <w:rtl/>
        </w:rPr>
        <w:t>.</w:t>
      </w:r>
      <w:r w:rsidR="007D5D4A">
        <w:rPr>
          <w:rFonts w:cs="FrankRuehl" w:hint="cs"/>
          <w:rtl/>
        </w:rPr>
        <w:t xml:space="preserve"> תוקן </w:t>
      </w:r>
      <w:hyperlink r:id="rId6" w:history="1">
        <w:r w:rsidR="007D5D4A" w:rsidRPr="007D5D4A">
          <w:rPr>
            <w:rStyle w:val="Hyperlink"/>
            <w:rFonts w:cs="FrankRuehl" w:hint="cs"/>
            <w:rtl/>
          </w:rPr>
          <w:t>קובץ המנשרים מס' 238</w:t>
        </w:r>
      </w:hyperlink>
      <w:r w:rsidR="007D5D4A">
        <w:rPr>
          <w:rFonts w:cs="FrankRuehl" w:hint="cs"/>
          <w:rtl/>
        </w:rPr>
        <w:t xml:space="preserve"> מחודש מאי 2012 עמ' 6464 בסעיף 1 לצו בדבר הסדרת הסמכויות בנקודות מעבר </w:t>
      </w:r>
      <w:r w:rsidR="00592E00">
        <w:rPr>
          <w:rFonts w:cs="FrankRuehl" w:hint="cs"/>
          <w:rtl/>
        </w:rPr>
        <w:t xml:space="preserve">(הוראת שעה) </w:t>
      </w:r>
      <w:r w:rsidR="007D5D4A">
        <w:rPr>
          <w:rFonts w:cs="FrankRuehl" w:hint="cs"/>
          <w:rtl/>
        </w:rPr>
        <w:t xml:space="preserve">(הארכת תוקף) (יהודה ושומרון) (מס' 1682), תשע"ב-2011; תחילתו ביום 27.11.2011. </w:t>
      </w:r>
      <w:hyperlink r:id="rId7" w:history="1">
        <w:r w:rsidR="007D5D4A" w:rsidRPr="007D5D4A">
          <w:rPr>
            <w:rStyle w:val="Hyperlink"/>
            <w:rFonts w:cs="FrankRuehl" w:hint="cs"/>
            <w:rtl/>
          </w:rPr>
          <w:t>קובץ המנשרים מס' 240</w:t>
        </w:r>
      </w:hyperlink>
      <w:r w:rsidR="007D5D4A">
        <w:rPr>
          <w:rFonts w:cs="FrankRuehl" w:hint="cs"/>
          <w:rtl/>
        </w:rPr>
        <w:t xml:space="preserve"> מחודש אוגוסט 2013 עמ' 6881 בסעיף 1 לצו בדבר הסדרת הסמכויות בנקודות מעבר </w:t>
      </w:r>
      <w:r w:rsidR="00592E00">
        <w:rPr>
          <w:rFonts w:cs="FrankRuehl" w:hint="cs"/>
          <w:rtl/>
        </w:rPr>
        <w:t xml:space="preserve">(הוראת שעה) </w:t>
      </w:r>
      <w:r w:rsidR="007D5D4A">
        <w:rPr>
          <w:rFonts w:cs="FrankRuehl" w:hint="cs"/>
          <w:rtl/>
        </w:rPr>
        <w:t>(הארכת תוקף) (יהודה ושומרון) (מס' 1719), תשע"ג-2013; תחילתו ביום 24.1.2013.</w:t>
      </w:r>
      <w:r w:rsidR="00592E00">
        <w:rPr>
          <w:rFonts w:cs="FrankRuehl" w:hint="cs"/>
          <w:rtl/>
        </w:rPr>
        <w:t xml:space="preserve"> </w:t>
      </w:r>
      <w:hyperlink r:id="rId8" w:history="1">
        <w:r w:rsidR="00592E00" w:rsidRPr="00592E00">
          <w:rPr>
            <w:rStyle w:val="Hyperlink"/>
            <w:rFonts w:cs="FrankRuehl" w:hint="cs"/>
            <w:rtl/>
          </w:rPr>
          <w:t>קובץ המנשרים מס' 241</w:t>
        </w:r>
      </w:hyperlink>
      <w:r w:rsidR="00592E00">
        <w:rPr>
          <w:rFonts w:cs="FrankRuehl" w:hint="cs"/>
          <w:rtl/>
        </w:rPr>
        <w:t xml:space="preserve"> מחודש יולי 2014 עמ' 7051 בסעיף 1 לצו בדבר הסדרת הסמכויות בנקודות מעבר (הוראת שעה) (הארכת תוקף) (יהודה ושומרון) (מס' 1733), תשע"ד-2014; תחילתו ביום 12.1.2014. </w:t>
      </w:r>
      <w:hyperlink r:id="rId9" w:history="1">
        <w:r w:rsidR="00592E00" w:rsidRPr="00592E00">
          <w:rPr>
            <w:rStyle w:val="Hyperlink"/>
            <w:rFonts w:cs="FrankRuehl" w:hint="cs"/>
            <w:rtl/>
          </w:rPr>
          <w:t>קובץ המנשרים מס' 244</w:t>
        </w:r>
      </w:hyperlink>
      <w:r w:rsidR="00592E00">
        <w:rPr>
          <w:rFonts w:cs="FrankRuehl" w:hint="cs"/>
          <w:rtl/>
        </w:rPr>
        <w:t xml:space="preserve"> מחודש אוגוסט 2016 עמ' 7453 בסעיף 1 לצו בדבר הסדרת הסמכויות בנקודות מעבר (הוראת שעה) (הארכת תוקף) (יהודה ושומרון) (מס' 1763), תשע"ו-2016; תחילתו ביום 13.1.2016. </w:t>
      </w:r>
      <w:hyperlink r:id="rId10" w:history="1">
        <w:r w:rsidR="00592E00" w:rsidRPr="00D45721">
          <w:rPr>
            <w:rStyle w:val="Hyperlink"/>
            <w:rFonts w:cs="FrankRuehl" w:hint="cs"/>
            <w:rtl/>
          </w:rPr>
          <w:t>קובץ המנשרים מס' 246</w:t>
        </w:r>
      </w:hyperlink>
      <w:r w:rsidR="00592E00">
        <w:rPr>
          <w:rFonts w:cs="FrankRuehl" w:hint="cs"/>
          <w:rtl/>
        </w:rPr>
        <w:t xml:space="preserve"> מחודש</w:t>
      </w:r>
      <w:r w:rsidR="00D45721">
        <w:rPr>
          <w:rFonts w:cs="FrankRuehl" w:hint="cs"/>
          <w:rtl/>
        </w:rPr>
        <w:t xml:space="preserve"> מאי 2018</w:t>
      </w:r>
      <w:r w:rsidR="00592E00">
        <w:rPr>
          <w:rFonts w:cs="FrankRuehl" w:hint="cs"/>
          <w:rtl/>
        </w:rPr>
        <w:t xml:space="preserve"> עמ' 8295 בסעיף 1 לצו בדבר הסדרת הסמכויות בנקודות מעבר (הוראת שעה) (תיקון מס' 5) (יהודה ושומרון) (מס' 1794), תשע"ח-2018; תחילתו ביום 16.1.2018.</w:t>
      </w:r>
      <w:r w:rsidR="009851ED">
        <w:rPr>
          <w:rFonts w:cs="FrankRuehl" w:hint="cs"/>
          <w:rtl/>
        </w:rPr>
        <w:t xml:space="preserve"> </w:t>
      </w:r>
      <w:hyperlink r:id="rId11" w:history="1">
        <w:r w:rsidR="00887828" w:rsidRPr="00887828">
          <w:rPr>
            <w:rStyle w:val="Hyperlink"/>
            <w:rFonts w:cs="FrankRuehl" w:hint="cs"/>
            <w:rtl/>
          </w:rPr>
          <w:t>קובץ המנשרים מס' 252</w:t>
        </w:r>
      </w:hyperlink>
      <w:r w:rsidR="00887828">
        <w:rPr>
          <w:rFonts w:cs="FrankRuehl" w:hint="cs"/>
          <w:rtl/>
        </w:rPr>
        <w:t xml:space="preserve"> מחודש אפריל 2020 עמ' 9434</w:t>
      </w:r>
      <w:r w:rsidR="009851ED">
        <w:rPr>
          <w:rFonts w:cs="FrankRuehl" w:hint="cs"/>
          <w:rtl/>
        </w:rPr>
        <w:t xml:space="preserve"> </w:t>
      </w:r>
      <w:r w:rsidR="009851ED">
        <w:rPr>
          <w:rFonts w:cs="FrankRuehl"/>
          <w:rtl/>
        </w:rPr>
        <w:t>–</w:t>
      </w:r>
      <w:r w:rsidR="009851ED">
        <w:rPr>
          <w:rFonts w:cs="FrankRuehl" w:hint="cs"/>
          <w:rtl/>
        </w:rPr>
        <w:t xml:space="preserve"> צו הארכת תוקף (מס' 1826) תש"ף-2019; תחילתו ביום 26.12.2019.</w:t>
      </w:r>
      <w:r w:rsidR="00887828">
        <w:rPr>
          <w:rFonts w:cs="FrankRuehl" w:hint="cs"/>
          <w:rtl/>
        </w:rPr>
        <w:t xml:space="preserve"> </w:t>
      </w:r>
      <w:hyperlink r:id="rId12" w:history="1">
        <w:r w:rsidR="00887828" w:rsidRPr="00460962">
          <w:rPr>
            <w:rStyle w:val="Hyperlink"/>
            <w:rFonts w:cs="FrankRuehl" w:hint="cs"/>
            <w:rtl/>
          </w:rPr>
          <w:t>קובץ המנשרים מס' 255</w:t>
        </w:r>
      </w:hyperlink>
      <w:r w:rsidR="00887828">
        <w:rPr>
          <w:rFonts w:cs="FrankRuehl" w:hint="cs"/>
          <w:rtl/>
        </w:rPr>
        <w:t xml:space="preserve"> מחודש פברואר 2021 עמ' 10697 </w:t>
      </w:r>
      <w:r w:rsidR="00887828">
        <w:rPr>
          <w:rFonts w:cs="FrankRuehl"/>
          <w:rtl/>
        </w:rPr>
        <w:t>–</w:t>
      </w:r>
      <w:r w:rsidR="00887828">
        <w:rPr>
          <w:rFonts w:cs="FrankRuehl" w:hint="cs"/>
          <w:rtl/>
        </w:rPr>
        <w:t xml:space="preserve"> צו הארכת תוקף (מס' 1980) תשפ"א-2020; תחילתו ביום 1.12.2020. טרם פורסם </w:t>
      </w:r>
      <w:r w:rsidR="00887828">
        <w:rPr>
          <w:rFonts w:cs="FrankRuehl"/>
          <w:rtl/>
        </w:rPr>
        <w:t>–</w:t>
      </w:r>
      <w:r w:rsidR="00887828">
        <w:rPr>
          <w:rFonts w:cs="FrankRuehl" w:hint="cs"/>
          <w:rtl/>
        </w:rPr>
        <w:t xml:space="preserve"> צו הארכת תוקף (מס' 2094) תשפ"ב-2021; תחילתו ביום 30.6.2021.</w:t>
      </w:r>
    </w:p>
    <w:p w:rsidR="00DA60FE" w:rsidRDefault="00DA60FE" w:rsidP="00DA60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955CDB" w:rsidRPr="00DA60FE">
          <w:rPr>
            <w:rStyle w:val="Hyperlink"/>
            <w:rFonts w:cs="FrankRuehl" w:hint="cs"/>
            <w:rtl/>
          </w:rPr>
          <w:t>קובץ המנשרים מס' 249</w:t>
        </w:r>
      </w:hyperlink>
      <w:r w:rsidR="00955CDB">
        <w:rPr>
          <w:rFonts w:cs="FrankRuehl" w:hint="cs"/>
          <w:rtl/>
        </w:rPr>
        <w:t xml:space="preserve"> מחודש מרץ 2019 עמ' 8735</w:t>
      </w:r>
      <w:r w:rsidR="0052499F">
        <w:rPr>
          <w:rFonts w:cs="FrankRuehl" w:hint="cs"/>
          <w:rtl/>
        </w:rPr>
        <w:t xml:space="preserve"> </w:t>
      </w:r>
      <w:r w:rsidR="0052499F">
        <w:rPr>
          <w:rFonts w:cs="FrankRuehl"/>
          <w:rtl/>
        </w:rPr>
        <w:t>–</w:t>
      </w:r>
      <w:r w:rsidR="0052499F">
        <w:rPr>
          <w:rFonts w:cs="FrankRuehl" w:hint="cs"/>
          <w:rtl/>
        </w:rPr>
        <w:t xml:space="preserve"> תיקון מס' 4 (מס' 1810) תשע"ט-2019; תחילתו ביום 20.1.2019.</w:t>
      </w:r>
    </w:p>
  </w:footnote>
  <w:footnote w:id="2">
    <w:p w:rsidR="00405B59" w:rsidRDefault="00405B59" w:rsidP="00405B59">
      <w:pPr>
        <w:pStyle w:val="a5"/>
        <w:spacing w:before="72"/>
        <w:ind w:right="1134"/>
        <w:jc w:val="both"/>
        <w:rPr>
          <w:rFonts w:hint="cs"/>
          <w:rtl/>
        </w:rPr>
      </w:pPr>
      <w:r>
        <w:rPr>
          <w:rStyle w:val="a6"/>
        </w:rPr>
        <w:footnoteRef/>
      </w:r>
      <w:r w:rsidRPr="00405B59">
        <w:rPr>
          <w:rFonts w:ascii="FrankRuehl" w:hAnsi="FrankRuehl" w:cs="FrankRuehl"/>
          <w:sz w:val="22"/>
          <w:szCs w:val="22"/>
          <w:rtl/>
        </w:rPr>
        <w:t xml:space="preserve"> הסעיף בטל כל עוד עומד בתוקפו צו בדבר הסדרת הסמכויות בנקודות מעבר (הוראת שעה) (יהודה ושומרון) (מס' 1665), תשע"א-2010. כרגע עד יום </w:t>
      </w:r>
      <w:r w:rsidR="007D045D">
        <w:rPr>
          <w:rFonts w:ascii="FrankRuehl" w:hAnsi="FrankRuehl" w:cs="FrankRuehl" w:hint="cs"/>
          <w:sz w:val="22"/>
          <w:szCs w:val="22"/>
          <w:rtl/>
        </w:rPr>
        <w:t>30.6.202</w:t>
      </w:r>
      <w:r w:rsidR="00887828">
        <w:rPr>
          <w:rFonts w:ascii="FrankRuehl" w:hAnsi="FrankRuehl" w:cs="FrankRuehl" w:hint="cs"/>
          <w:sz w:val="22"/>
          <w:szCs w:val="22"/>
          <w:rtl/>
        </w:rPr>
        <w:t>6</w:t>
      </w:r>
      <w:r w:rsidRPr="00405B59">
        <w:rPr>
          <w:rFonts w:ascii="FrankRuehl" w:hAnsi="FrankRuehl"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933" w:rsidRDefault="0015593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55933" w:rsidRDefault="001559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55933" w:rsidRDefault="0015593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933" w:rsidRDefault="0015593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העברת טובין (מס' 1252), תשמ"ח-1988</w:t>
    </w:r>
  </w:p>
  <w:p w:rsidR="00155933" w:rsidRDefault="001559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55933" w:rsidRDefault="0015593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1006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7EA"/>
    <w:rsid w:val="00092FB5"/>
    <w:rsid w:val="000D6A70"/>
    <w:rsid w:val="00155933"/>
    <w:rsid w:val="00242154"/>
    <w:rsid w:val="00300174"/>
    <w:rsid w:val="003E1C80"/>
    <w:rsid w:val="00405B59"/>
    <w:rsid w:val="004717EA"/>
    <w:rsid w:val="00514A6D"/>
    <w:rsid w:val="0052499F"/>
    <w:rsid w:val="00582E82"/>
    <w:rsid w:val="00592E00"/>
    <w:rsid w:val="006114FA"/>
    <w:rsid w:val="006B7D87"/>
    <w:rsid w:val="00771BDA"/>
    <w:rsid w:val="007C72B7"/>
    <w:rsid w:val="007D045D"/>
    <w:rsid w:val="007D5D4A"/>
    <w:rsid w:val="00887828"/>
    <w:rsid w:val="008F5E13"/>
    <w:rsid w:val="00906BC1"/>
    <w:rsid w:val="00955CDB"/>
    <w:rsid w:val="009851ED"/>
    <w:rsid w:val="009B3301"/>
    <w:rsid w:val="009E34B3"/>
    <w:rsid w:val="00AC18DB"/>
    <w:rsid w:val="00B17D92"/>
    <w:rsid w:val="00B30E57"/>
    <w:rsid w:val="00D45721"/>
    <w:rsid w:val="00DA60FE"/>
    <w:rsid w:val="00FC2F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B124D2F-B5CA-4DDD-95BB-DA9A1548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955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145.pdf" TargetMode="External"/><Relationship Id="rId13" Type="http://schemas.openxmlformats.org/officeDocument/2006/relationships/hyperlink" Target="http://www.nevo.co.il/Law_word/law70/zava-0238.pdf" TargetMode="External"/><Relationship Id="rId18" Type="http://schemas.openxmlformats.org/officeDocument/2006/relationships/hyperlink" Target="http://www.nevo.co.il/advertisements/nevo-100.do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evo.co.il/Law_word/law70/zava-0237.pdf" TargetMode="External"/><Relationship Id="rId17" Type="http://schemas.openxmlformats.org/officeDocument/2006/relationships/hyperlink" Target="http://www.nevo.co.il/Law_word/law70/zava-0246.pdf" TargetMode="External"/><Relationship Id="rId2" Type="http://schemas.openxmlformats.org/officeDocument/2006/relationships/numbering" Target="numbering.xml"/><Relationship Id="rId16" Type="http://schemas.openxmlformats.org/officeDocument/2006/relationships/hyperlink" Target="http://www.nevo.co.il/Law_word/law70/zava-0244.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vo.co.il/Law_word/law70/ZAVA-0210.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_word/law70/zava-0241.pdf" TargetMode="External"/><Relationship Id="rId23" Type="http://schemas.openxmlformats.org/officeDocument/2006/relationships/fontTable" Target="fontTable.xml"/><Relationship Id="rId10" Type="http://schemas.openxmlformats.org/officeDocument/2006/relationships/hyperlink" Target="http://www.nevo.co.il/law_word/law70/zava-0249.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_word/law70/ZAVA-0219.pdf" TargetMode="External"/><Relationship Id="rId14" Type="http://schemas.openxmlformats.org/officeDocument/2006/relationships/hyperlink" Target="http://www.nevo.co.il/Law_word/law70/ZAVA-0240.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241.pdf" TargetMode="External"/><Relationship Id="rId13" Type="http://schemas.openxmlformats.org/officeDocument/2006/relationships/hyperlink" Target="https://www.nevo.co.il/law_html/law70/zava-0249.pdf" TargetMode="External"/><Relationship Id="rId3" Type="http://schemas.openxmlformats.org/officeDocument/2006/relationships/hyperlink" Target="http://www.nevo.co.il/Law_word/law70/ZAVA-0210.pdf" TargetMode="External"/><Relationship Id="rId7" Type="http://schemas.openxmlformats.org/officeDocument/2006/relationships/hyperlink" Target="http://www.nevo.co.il/Law_word/law70/zava-0240.pdf" TargetMode="External"/><Relationship Id="rId12" Type="http://schemas.openxmlformats.org/officeDocument/2006/relationships/hyperlink" Target="https://www.nevo.co.il/law_html/law70/zava-0255.pdf" TargetMode="External"/><Relationship Id="rId2" Type="http://schemas.openxmlformats.org/officeDocument/2006/relationships/hyperlink" Target="http://www.nevo.co.il/Law_word/law70/ZAVA-0145.pdf" TargetMode="External"/><Relationship Id="rId1" Type="http://schemas.openxmlformats.org/officeDocument/2006/relationships/hyperlink" Target="http://www.nevo.co.il/Law_word/law70/ZAVA-0077.pdf" TargetMode="External"/><Relationship Id="rId6" Type="http://schemas.openxmlformats.org/officeDocument/2006/relationships/hyperlink" Target="http://www.nevo.co.il/Law_word/law70/ZAVA-0238.pdf" TargetMode="External"/><Relationship Id="rId11" Type="http://schemas.openxmlformats.org/officeDocument/2006/relationships/hyperlink" Target="https://www.nevo.co.il/Law_word/law70/zava-0252.pdf" TargetMode="External"/><Relationship Id="rId5" Type="http://schemas.openxmlformats.org/officeDocument/2006/relationships/hyperlink" Target="http://www.nevo.co.il/Law_word/law70/ZAVA-0237.pdf" TargetMode="External"/><Relationship Id="rId10" Type="http://schemas.openxmlformats.org/officeDocument/2006/relationships/hyperlink" Target="http://www.nevo.co.il/Law_word/law70/zava-0246.pdf" TargetMode="External"/><Relationship Id="rId4" Type="http://schemas.openxmlformats.org/officeDocument/2006/relationships/hyperlink" Target="http://www.nevo.co.il/Law_word/law70/ZAVA-0219.pdf" TargetMode="External"/><Relationship Id="rId9" Type="http://schemas.openxmlformats.org/officeDocument/2006/relationships/hyperlink" Target="http://www.nevo.co.il/Law_word/law70/zava-02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4A4CF-CA84-4D3B-9B65-3D2B5F64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5814</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6821</CharactersWithSpaces>
  <SharedDoc>false</SharedDoc>
  <HLinks>
    <vt:vector size="216" baseType="variant">
      <vt:variant>
        <vt:i4>393283</vt:i4>
      </vt:variant>
      <vt:variant>
        <vt:i4>102</vt:i4>
      </vt:variant>
      <vt:variant>
        <vt:i4>0</vt:i4>
      </vt:variant>
      <vt:variant>
        <vt:i4>5</vt:i4>
      </vt:variant>
      <vt:variant>
        <vt:lpwstr>http://www.nevo.co.il/advertisements/nevo-100.doc</vt:lpwstr>
      </vt:variant>
      <vt:variant>
        <vt:lpwstr/>
      </vt:variant>
      <vt:variant>
        <vt:i4>1638525</vt:i4>
      </vt:variant>
      <vt:variant>
        <vt:i4>99</vt:i4>
      </vt:variant>
      <vt:variant>
        <vt:i4>0</vt:i4>
      </vt:variant>
      <vt:variant>
        <vt:i4>5</vt:i4>
      </vt:variant>
      <vt:variant>
        <vt:lpwstr>http://www.nevo.co.il/Law_word/law70/zava-0246.pdf</vt:lpwstr>
      </vt:variant>
      <vt:variant>
        <vt:lpwstr/>
      </vt:variant>
      <vt:variant>
        <vt:i4>1769597</vt:i4>
      </vt:variant>
      <vt:variant>
        <vt:i4>96</vt:i4>
      </vt:variant>
      <vt:variant>
        <vt:i4>0</vt:i4>
      </vt:variant>
      <vt:variant>
        <vt:i4>5</vt:i4>
      </vt:variant>
      <vt:variant>
        <vt:lpwstr>http://www.nevo.co.il/Law_word/law70/zava-0244.pdf</vt:lpwstr>
      </vt:variant>
      <vt:variant>
        <vt:lpwstr/>
      </vt:variant>
      <vt:variant>
        <vt:i4>1966205</vt:i4>
      </vt:variant>
      <vt:variant>
        <vt:i4>93</vt:i4>
      </vt:variant>
      <vt:variant>
        <vt:i4>0</vt:i4>
      </vt:variant>
      <vt:variant>
        <vt:i4>5</vt:i4>
      </vt:variant>
      <vt:variant>
        <vt:lpwstr>http://www.nevo.co.il/Law_word/law70/zava-0241.pdf</vt:lpwstr>
      </vt:variant>
      <vt:variant>
        <vt:lpwstr/>
      </vt:variant>
      <vt:variant>
        <vt:i4>2031741</vt:i4>
      </vt:variant>
      <vt:variant>
        <vt:i4>90</vt:i4>
      </vt:variant>
      <vt:variant>
        <vt:i4>0</vt:i4>
      </vt:variant>
      <vt:variant>
        <vt:i4>5</vt:i4>
      </vt:variant>
      <vt:variant>
        <vt:lpwstr>http://www.nevo.co.il/Law_word/law70/ZAVA-0240.pdf</vt:lpwstr>
      </vt:variant>
      <vt:variant>
        <vt:lpwstr/>
      </vt:variant>
      <vt:variant>
        <vt:i4>1507450</vt:i4>
      </vt:variant>
      <vt:variant>
        <vt:i4>87</vt:i4>
      </vt:variant>
      <vt:variant>
        <vt:i4>0</vt:i4>
      </vt:variant>
      <vt:variant>
        <vt:i4>5</vt:i4>
      </vt:variant>
      <vt:variant>
        <vt:lpwstr>http://www.nevo.co.il/Law_word/law70/zava-0238.pdf</vt:lpwstr>
      </vt:variant>
      <vt:variant>
        <vt:lpwstr/>
      </vt:variant>
      <vt:variant>
        <vt:i4>1572986</vt:i4>
      </vt:variant>
      <vt:variant>
        <vt:i4>84</vt:i4>
      </vt:variant>
      <vt:variant>
        <vt:i4>0</vt:i4>
      </vt:variant>
      <vt:variant>
        <vt:i4>5</vt:i4>
      </vt:variant>
      <vt:variant>
        <vt:lpwstr>http://www.nevo.co.il/Law_word/law70/zava-0237.pdf</vt:lpwstr>
      </vt:variant>
      <vt:variant>
        <vt:lpwstr/>
      </vt:variant>
      <vt:variant>
        <vt:i4>2031736</vt:i4>
      </vt:variant>
      <vt:variant>
        <vt:i4>81</vt:i4>
      </vt:variant>
      <vt:variant>
        <vt:i4>0</vt:i4>
      </vt:variant>
      <vt:variant>
        <vt:i4>5</vt:i4>
      </vt:variant>
      <vt:variant>
        <vt:lpwstr>http://www.nevo.co.il/Law_word/law70/ZAVA-0210.pdf</vt:lpwstr>
      </vt:variant>
      <vt:variant>
        <vt:lpwstr/>
      </vt:variant>
      <vt:variant>
        <vt:i4>1441917</vt:i4>
      </vt:variant>
      <vt:variant>
        <vt:i4>78</vt:i4>
      </vt:variant>
      <vt:variant>
        <vt:i4>0</vt:i4>
      </vt:variant>
      <vt:variant>
        <vt:i4>5</vt:i4>
      </vt:variant>
      <vt:variant>
        <vt:lpwstr>http://www.nevo.co.il/law_word/law70/zava-0249.pdf</vt:lpwstr>
      </vt:variant>
      <vt:variant>
        <vt:lpwstr/>
      </vt:variant>
      <vt:variant>
        <vt:i4>1441912</vt:i4>
      </vt:variant>
      <vt:variant>
        <vt:i4>75</vt:i4>
      </vt:variant>
      <vt:variant>
        <vt:i4>0</vt:i4>
      </vt:variant>
      <vt:variant>
        <vt:i4>5</vt:i4>
      </vt:variant>
      <vt:variant>
        <vt:lpwstr>http://www.nevo.co.il/Law_word/law70/ZAVA-0219.pdf</vt:lpwstr>
      </vt:variant>
      <vt:variant>
        <vt:lpwstr/>
      </vt:variant>
      <vt:variant>
        <vt:i4>1638525</vt:i4>
      </vt:variant>
      <vt:variant>
        <vt:i4>72</vt:i4>
      </vt:variant>
      <vt:variant>
        <vt:i4>0</vt:i4>
      </vt:variant>
      <vt:variant>
        <vt:i4>5</vt:i4>
      </vt:variant>
      <vt:variant>
        <vt:lpwstr>http://www.nevo.co.il/Law_word/law70/ZAVA-0145.pdf</vt:lpwstr>
      </vt:variant>
      <vt:variant>
        <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3211307</vt:i4>
      </vt:variant>
      <vt:variant>
        <vt:i4>24</vt:i4>
      </vt:variant>
      <vt:variant>
        <vt:i4>0</vt:i4>
      </vt:variant>
      <vt:variant>
        <vt:i4>5</vt:i4>
      </vt:variant>
      <vt:variant>
        <vt:lpwstr/>
      </vt:variant>
      <vt:variant>
        <vt:lpwstr>Seif12</vt:lpwstr>
      </vt:variant>
      <vt:variant>
        <vt:i4>196634</vt:i4>
      </vt:variant>
      <vt:variant>
        <vt:i4>18</vt:i4>
      </vt:variant>
      <vt:variant>
        <vt:i4>0</vt:i4>
      </vt:variant>
      <vt:variant>
        <vt:i4>5</vt:i4>
      </vt:variant>
      <vt:variant>
        <vt:lpwstr/>
      </vt:variant>
      <vt:variant>
        <vt:lpwstr>Seif3</vt:lpwstr>
      </vt:variant>
      <vt:variant>
        <vt:i4>3276843</vt:i4>
      </vt:variant>
      <vt:variant>
        <vt:i4>12</vt:i4>
      </vt:variant>
      <vt:variant>
        <vt:i4>0</vt:i4>
      </vt:variant>
      <vt:variant>
        <vt:i4>5</vt:i4>
      </vt:variant>
      <vt:variant>
        <vt:lpwstr/>
      </vt:variant>
      <vt:variant>
        <vt:lpwstr>Seif11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6619144</vt:i4>
      </vt:variant>
      <vt:variant>
        <vt:i4>36</vt:i4>
      </vt:variant>
      <vt:variant>
        <vt:i4>0</vt:i4>
      </vt:variant>
      <vt:variant>
        <vt:i4>5</vt:i4>
      </vt:variant>
      <vt:variant>
        <vt:lpwstr>https://www.nevo.co.il/law_html/law70/zava-0249.pdf</vt:lpwstr>
      </vt:variant>
      <vt:variant>
        <vt:lpwstr/>
      </vt:variant>
      <vt:variant>
        <vt:i4>6553604</vt:i4>
      </vt:variant>
      <vt:variant>
        <vt:i4>33</vt:i4>
      </vt:variant>
      <vt:variant>
        <vt:i4>0</vt:i4>
      </vt:variant>
      <vt:variant>
        <vt:i4>5</vt:i4>
      </vt:variant>
      <vt:variant>
        <vt:lpwstr>https://www.nevo.co.il/law_html/law70/zava-0255.pdf</vt:lpwstr>
      </vt:variant>
      <vt:variant>
        <vt:lpwstr/>
      </vt:variant>
      <vt:variant>
        <vt:i4>6553616</vt:i4>
      </vt:variant>
      <vt:variant>
        <vt:i4>30</vt:i4>
      </vt:variant>
      <vt:variant>
        <vt:i4>0</vt:i4>
      </vt:variant>
      <vt:variant>
        <vt:i4>5</vt:i4>
      </vt:variant>
      <vt:variant>
        <vt:lpwstr>https://www.nevo.co.il/Law_word/law70/zava-0252.pdf</vt:lpwstr>
      </vt:variant>
      <vt:variant>
        <vt:lpwstr/>
      </vt:variant>
      <vt:variant>
        <vt:i4>1638525</vt:i4>
      </vt:variant>
      <vt:variant>
        <vt:i4>27</vt:i4>
      </vt:variant>
      <vt:variant>
        <vt:i4>0</vt:i4>
      </vt:variant>
      <vt:variant>
        <vt:i4>5</vt:i4>
      </vt:variant>
      <vt:variant>
        <vt:lpwstr>http://www.nevo.co.il/Law_word/law70/zava-0246.pdf</vt:lpwstr>
      </vt:variant>
      <vt:variant>
        <vt:lpwstr/>
      </vt:variant>
      <vt:variant>
        <vt:i4>1769597</vt:i4>
      </vt:variant>
      <vt:variant>
        <vt:i4>24</vt:i4>
      </vt:variant>
      <vt:variant>
        <vt:i4>0</vt:i4>
      </vt:variant>
      <vt:variant>
        <vt:i4>5</vt:i4>
      </vt:variant>
      <vt:variant>
        <vt:lpwstr>http://www.nevo.co.il/Law_word/law70/zava-0244.pdf</vt:lpwstr>
      </vt:variant>
      <vt:variant>
        <vt:lpwstr/>
      </vt:variant>
      <vt:variant>
        <vt:i4>1966205</vt:i4>
      </vt:variant>
      <vt:variant>
        <vt:i4>21</vt:i4>
      </vt:variant>
      <vt:variant>
        <vt:i4>0</vt:i4>
      </vt:variant>
      <vt:variant>
        <vt:i4>5</vt:i4>
      </vt:variant>
      <vt:variant>
        <vt:lpwstr>http://www.nevo.co.il/Law_word/law70/zava-0241.pdf</vt:lpwstr>
      </vt:variant>
      <vt:variant>
        <vt:lpwstr/>
      </vt:variant>
      <vt:variant>
        <vt:i4>2031741</vt:i4>
      </vt:variant>
      <vt:variant>
        <vt:i4>18</vt:i4>
      </vt:variant>
      <vt:variant>
        <vt:i4>0</vt:i4>
      </vt:variant>
      <vt:variant>
        <vt:i4>5</vt:i4>
      </vt:variant>
      <vt:variant>
        <vt:lpwstr>http://www.nevo.co.il/Law_word/law70/zava-0240.pdf</vt:lpwstr>
      </vt:variant>
      <vt:variant>
        <vt:lpwstr/>
      </vt:variant>
      <vt:variant>
        <vt:i4>1507450</vt:i4>
      </vt:variant>
      <vt:variant>
        <vt:i4>15</vt:i4>
      </vt:variant>
      <vt:variant>
        <vt:i4>0</vt:i4>
      </vt:variant>
      <vt:variant>
        <vt:i4>5</vt:i4>
      </vt:variant>
      <vt:variant>
        <vt:lpwstr>http://www.nevo.co.il/Law_word/law70/ZAVA-0238.pdf</vt:lpwstr>
      </vt:variant>
      <vt:variant>
        <vt:lpwstr/>
      </vt:variant>
      <vt:variant>
        <vt:i4>1572986</vt:i4>
      </vt:variant>
      <vt:variant>
        <vt:i4>12</vt:i4>
      </vt:variant>
      <vt:variant>
        <vt:i4>0</vt:i4>
      </vt:variant>
      <vt:variant>
        <vt:i4>5</vt:i4>
      </vt:variant>
      <vt:variant>
        <vt:lpwstr>http://www.nevo.co.il/Law_word/law70/ZAVA-0237.pdf</vt:lpwstr>
      </vt:variant>
      <vt:variant>
        <vt:lpwstr/>
      </vt:variant>
      <vt:variant>
        <vt:i4>1441912</vt:i4>
      </vt:variant>
      <vt:variant>
        <vt:i4>9</vt:i4>
      </vt:variant>
      <vt:variant>
        <vt:i4>0</vt:i4>
      </vt:variant>
      <vt:variant>
        <vt:i4>5</vt:i4>
      </vt:variant>
      <vt:variant>
        <vt:lpwstr>http://www.nevo.co.il/Law_word/law70/ZAVA-0219.pdf</vt:lpwstr>
      </vt:variant>
      <vt:variant>
        <vt:lpwstr/>
      </vt:variant>
      <vt:variant>
        <vt:i4>2031736</vt:i4>
      </vt:variant>
      <vt:variant>
        <vt:i4>6</vt:i4>
      </vt:variant>
      <vt:variant>
        <vt:i4>0</vt:i4>
      </vt:variant>
      <vt:variant>
        <vt:i4>5</vt:i4>
      </vt:variant>
      <vt:variant>
        <vt:lpwstr>http://www.nevo.co.il/Law_word/law70/ZAVA-0210.pdf</vt:lpwstr>
      </vt:variant>
      <vt:variant>
        <vt:lpwstr/>
      </vt:variant>
      <vt:variant>
        <vt:i4>1638525</vt:i4>
      </vt:variant>
      <vt:variant>
        <vt:i4>3</vt:i4>
      </vt:variant>
      <vt:variant>
        <vt:i4>0</vt:i4>
      </vt:variant>
      <vt:variant>
        <vt:i4>5</vt:i4>
      </vt:variant>
      <vt:variant>
        <vt:lpwstr>http://www.nevo.co.il/Law_word/law70/ZAVA-0145.pdf</vt:lpwstr>
      </vt:variant>
      <vt:variant>
        <vt:lpwstr/>
      </vt:variant>
      <vt:variant>
        <vt:i4>1704062</vt:i4>
      </vt:variant>
      <vt:variant>
        <vt:i4>0</vt:i4>
      </vt:variant>
      <vt:variant>
        <vt:i4>0</vt:i4>
      </vt:variant>
      <vt:variant>
        <vt:i4>5</vt:i4>
      </vt:variant>
      <vt:variant>
        <vt:lpwstr>http://www.nevo.co.il/Law_word/law70/ZAVA-0077.pdf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Yael Ilan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העברת טובין (מס' 1252), תשמ"ח-1988</vt:lpwstr>
  </property>
  <property fmtid="{D5CDD505-2E9C-101B-9397-08002B2CF9AE}" pid="4" name="LAWNUMBER">
    <vt:lpwstr>0011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https://www.nevo.co.il/law_html/law70/zava-0249.pdf;‎קמצ"ם#קובץ המנשרים מס' 249 #מחודש ‏מרץ 2019 עמ' 8735 – תיקון מס' 4 (מס' 1810) תשע"ט-2019; תחילתו ביום 20.1.2019‏</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http://www.nevo.co.il/Law_word/law70/ZAVA-0237.pdf;‎קובץ המנשרים מס' 237 #מחודש אפריל ‏‏2011 #עמ' 6328 – הוראת שעה בסעיף 9(א) לצו בדבר הסדרת הסמכויות בנקודות מעבר (הוראת שעה) (יהודה ‏ושומרון) (מס' 1665), תשע"א-2010; תוקפו מיום 13.1.2011 עד יום 14.1.2012‏</vt:lpwstr>
  </property>
</Properties>
</file>