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2053AF" w:rsidRDefault="000D4229" w:rsidP="00BE31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בדבר </w:t>
      </w:r>
      <w:r w:rsidR="00BE31B6">
        <w:rPr>
          <w:rFonts w:cs="FrankRuehl" w:hint="cs"/>
          <w:sz w:val="32"/>
          <w:rtl/>
        </w:rPr>
        <w:t>העסקת עובדים במקומות מסויימים</w:t>
      </w:r>
      <w:r>
        <w:rPr>
          <w:rFonts w:cs="FrankRuehl" w:hint="cs"/>
          <w:sz w:val="32"/>
          <w:rtl/>
        </w:rPr>
        <w:t xml:space="preserve"> (יהודה והשומרון) (מס' </w:t>
      </w:r>
      <w:r w:rsidR="00BE31B6">
        <w:rPr>
          <w:rFonts w:cs="FrankRuehl" w:hint="cs"/>
          <w:sz w:val="32"/>
          <w:rtl/>
        </w:rPr>
        <w:t>967</w:t>
      </w:r>
      <w:r>
        <w:rPr>
          <w:rFonts w:cs="FrankRuehl" w:hint="cs"/>
          <w:sz w:val="32"/>
          <w:rtl/>
        </w:rPr>
        <w:t xml:space="preserve">), </w:t>
      </w:r>
      <w:r w:rsidR="00BE31B6">
        <w:rPr>
          <w:rFonts w:cs="FrankRuehl" w:hint="cs"/>
          <w:sz w:val="32"/>
          <w:rtl/>
        </w:rPr>
        <w:t>תשמ"ב-1982</w:t>
      </w:r>
    </w:p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העסקת באמצעות לשכת עבודה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3" w:tooltip="חובת העסקת באמצעות לשכת עבודה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 יוקר ושכר מינימום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4" w:tooltip="תוספת יוקר ושכר מינימום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3א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התקנת תקנות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9" w:tooltip="התקנת תקנות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3ב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העסקה מחוץ לישוב על ידי ישראלי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10" w:tooltip="העסקה מחוץ לישוב על ידי ישראלי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3ג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זכות עובד של קבלן כוח אדם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11" w:tooltip="זכות עובד של קבלן כוח אדם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הקניית סמכויות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2" w:tooltip="הקניית סמכויות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5" w:tooltip="שמירת דינים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5א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המינהל האזרחי כמעביד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12" w:tooltip="המינהל האזרחי כמעביד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עונשין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6" w:tooltip="עונשין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7" w:tooltip="תחילת תוקף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13D40" w:rsidRPr="00813D4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813D40" w:rsidRPr="00813D40" w:rsidRDefault="00813D40" w:rsidP="00813D40">
            <w:pPr>
              <w:rPr>
                <w:rStyle w:val="Hyperlink"/>
                <w:rFonts w:hint="cs"/>
                <w:rtl/>
              </w:rPr>
            </w:pPr>
            <w:hyperlink w:anchor="Seif8" w:tooltip="השם" w:history="1">
              <w:r w:rsidRPr="00813D4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3D40" w:rsidRPr="00813D40" w:rsidRDefault="00813D40" w:rsidP="00813D4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053AF" w:rsidRDefault="002053AF">
      <w:pPr>
        <w:pStyle w:val="big-header"/>
        <w:ind w:left="0" w:right="1134"/>
        <w:rPr>
          <w:rFonts w:cs="FrankRuehl" w:hint="cs"/>
          <w:sz w:val="32"/>
          <w:rtl/>
        </w:rPr>
      </w:pPr>
    </w:p>
    <w:p w:rsidR="00172C7F" w:rsidRDefault="002053AF" w:rsidP="00172C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172C7F">
        <w:rPr>
          <w:rFonts w:cs="FrankRuehl" w:hint="cs"/>
          <w:sz w:val="32"/>
          <w:rtl/>
        </w:rPr>
        <w:lastRenderedPageBreak/>
        <w:t>יהודה והשומרון</w:t>
      </w:r>
    </w:p>
    <w:p w:rsidR="002053AF" w:rsidRDefault="00BE31B6" w:rsidP="00172C7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צו בדבר העסקת עובדים במקומות מסויימים (יהודה והשומרון) (מס' 967), תשמ"ב-1982</w:t>
      </w:r>
      <w:r w:rsidR="002053AF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053AF" w:rsidRDefault="002053AF" w:rsidP="00BE3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BE31B6">
        <w:rPr>
          <w:rStyle w:val="default"/>
          <w:rFonts w:cs="FrankRuehl" w:hint="cs"/>
          <w:rtl/>
        </w:rPr>
        <w:t>בתוקף סמכותי כמפקד כוחות צה"ל באיזור והואיל והנני סבור כי הדבר דרוש להגנת זכויותיהם של העובדים באזור הנני מצווה לאמור</w:t>
      </w:r>
      <w:r>
        <w:rPr>
          <w:rStyle w:val="default"/>
          <w:rFonts w:cs="FrankRuehl" w:hint="cs"/>
          <w:rtl/>
        </w:rPr>
        <w:t>:</w:t>
      </w:r>
      <w:r w:rsidR="00BE31B6">
        <w:rPr>
          <w:rStyle w:val="default"/>
          <w:rFonts w:cs="FrankRuehl" w:hint="cs"/>
          <w:rtl/>
        </w:rPr>
        <w:t>-</w:t>
      </w:r>
    </w:p>
    <w:p w:rsidR="002053AF" w:rsidRDefault="002053AF" w:rsidP="00F66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9.85pt;z-index:251650048" o:allowincell="f" filled="f" stroked="f" strokecolor="lime" strokeweight=".25pt">
            <v:textbox style="mso-next-textbox:#_x0000_s1026" inset="0,0,0,0">
              <w:txbxContent>
                <w:p w:rsidR="005014D1" w:rsidRDefault="005014D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66737">
        <w:rPr>
          <w:rStyle w:val="default"/>
          <w:rFonts w:cs="FrankRuehl" w:hint="cs"/>
          <w:rtl/>
        </w:rPr>
        <w:t xml:space="preserve">בצו זה </w:t>
      </w:r>
      <w:r w:rsidR="00F66737">
        <w:rPr>
          <w:rStyle w:val="default"/>
          <w:rFonts w:cs="FrankRuehl"/>
          <w:rtl/>
        </w:rPr>
        <w:t>–</w:t>
      </w:r>
    </w:p>
    <w:p w:rsidR="00BE31B6" w:rsidRDefault="00BE31B6" w:rsidP="00F66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"הממונה"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שימונה על ידי כממונה לצורך צו זה;</w:t>
      </w:r>
    </w:p>
    <w:p w:rsidR="00BE31B6" w:rsidRDefault="00BE31B6" w:rsidP="00F66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"חוק העבודה"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העב</w:t>
      </w:r>
      <w:r w:rsidR="007D695F">
        <w:rPr>
          <w:rStyle w:val="default"/>
          <w:rFonts w:cs="FrankRuehl" w:hint="cs"/>
          <w:rtl/>
        </w:rPr>
        <w:t>ודה הירדני, חוק מס' 2 לשנת 1965;</w:t>
      </w:r>
    </w:p>
    <w:p w:rsidR="007D695F" w:rsidRDefault="007D695F" w:rsidP="00F66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23" type="#_x0000_t202" style="position:absolute;left:0;text-align:left;margin-left:468pt;margin-top:7.1pt;width:74.35pt;height:18pt;z-index:251659264" filled="f" stroked="f">
            <v:textbox inset="1mm,0,1mm,0">
              <w:txbxContent>
                <w:p w:rsidR="005014D1" w:rsidRDefault="005014D1" w:rsidP="007D695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1 (מס' 1141) תשמ"ה-1985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"ישוב"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מן הישובים במפורטים בתוספת לצו בדבר ניהול מועצות אזוריות (יהודה והשומרון) (מס' 783), תשל"ט-1979 ובתוספת לצו בדבר ניהול מועצות מקומיות (יהודה והשומרון) (מס' 892), התשמ"</w:t>
      </w:r>
      <w:r w:rsidR="005014D1">
        <w:rPr>
          <w:rStyle w:val="default"/>
          <w:rFonts w:cs="FrankRuehl" w:hint="cs"/>
          <w:rtl/>
        </w:rPr>
        <w:t>א-1981, כפי תוקפן מעת לעת;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2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28.5.1985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1141) תשמ"ה-1985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74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2.11.1986 עמ' 48</w:t>
      </w:r>
    </w:p>
    <w:p w:rsidR="005014D1" w:rsidRPr="00EA1574" w:rsidRDefault="005014D1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"ישוב"</w:t>
      </w:r>
      <w:bookmarkEnd w:id="1"/>
    </w:p>
    <w:p w:rsidR="005014D1" w:rsidRDefault="005014D1" w:rsidP="005014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530" type="#_x0000_t202" style="position:absolute;left:0;text-align:left;margin-left:468pt;margin-top:7.1pt;width:74.35pt;height:18pt;z-index:251662336" filled="f" stroked="f">
            <v:textbox inset="1mm,0,1mm,0">
              <w:txbxContent>
                <w:p w:rsidR="005014D1" w:rsidRDefault="005014D1" w:rsidP="005014D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1605) תשס"ח-2007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"ישראלי"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תושב ישראל, מי שמקום מגוריו באזור והוא אזרח ישראלי או שהוא זכאי לעלות לישראל לפי חוק השבות, התש"י-1950, כפי תוקפו בישראל מעת לעת, וכן מי שאינו תושב האזור ובידו אשרת כניסה בתוקף לישראל.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3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1605) תשס"ח-2007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222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מרץ 2008 עמ' 4986</w:t>
      </w:r>
    </w:p>
    <w:p w:rsidR="005014D1" w:rsidRPr="00EA1574" w:rsidRDefault="005014D1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"ישראלי"</w:t>
      </w:r>
      <w:bookmarkEnd w:id="2"/>
    </w:p>
    <w:p w:rsidR="00F66737" w:rsidRDefault="002053AF" w:rsidP="007D695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>
          <v:shape id="_x0000_s1354" type="#_x0000_t202" style="position:absolute;left:0;text-align:left;margin-left:467.1pt;margin-top:7.1pt;width:75.25pt;height:45.25pt;z-index:251652096" filled="f" stroked="f">
            <v:textbox style="mso-next-textbox:#_x0000_s1354" inset="1mm,0,1mm,0">
              <w:txbxContent>
                <w:p w:rsidR="005014D1" w:rsidRDefault="005014D1" w:rsidP="0031790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העסקת באמצעות לשכת עבודה</w:t>
                  </w:r>
                </w:p>
                <w:p w:rsidR="005014D1" w:rsidRDefault="005014D1" w:rsidP="007D695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1 (מס' 1141) תשמ"ה-1985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E31B6">
        <w:rPr>
          <w:rStyle w:val="big-number"/>
          <w:rFonts w:cs="FrankRuehl" w:hint="cs"/>
          <w:sz w:val="26"/>
          <w:szCs w:val="26"/>
          <w:rtl/>
        </w:rPr>
        <w:t xml:space="preserve">לא יעסיק אדם, תושב באזור בישוב (להלן </w:t>
      </w:r>
      <w:r w:rsidR="00BE31B6">
        <w:rPr>
          <w:rStyle w:val="big-number"/>
          <w:rFonts w:cs="FrankRuehl"/>
          <w:sz w:val="26"/>
          <w:szCs w:val="26"/>
          <w:rtl/>
        </w:rPr>
        <w:t>–</w:t>
      </w:r>
      <w:r w:rsidR="00BE31B6">
        <w:rPr>
          <w:rStyle w:val="big-number"/>
          <w:rFonts w:cs="FrankRuehl" w:hint="cs"/>
          <w:sz w:val="26"/>
          <w:szCs w:val="26"/>
          <w:rtl/>
        </w:rPr>
        <w:t xml:space="preserve"> העסקה), אלא באמצעות לשכת העבודה כמשמעותה בפרק השלישי לחוק העבודה</w:t>
      </w:r>
      <w:r w:rsidR="00F66737">
        <w:rPr>
          <w:rStyle w:val="big-number"/>
          <w:rFonts w:cs="FrankRuehl" w:hint="cs"/>
          <w:sz w:val="26"/>
          <w:szCs w:val="26"/>
          <w:rtl/>
        </w:rPr>
        <w:t>.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4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28.5.1985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1141) תשמ"ה-1985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74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2.11.1986 עמ' 48</w:t>
      </w:r>
    </w:p>
    <w:p w:rsidR="00EA1574" w:rsidRPr="00EA1574" w:rsidRDefault="00EA1574" w:rsidP="00EA1574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EA157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EA157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A157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157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לא יעסיק אדם, תושב באזור בישוב </w:t>
      </w:r>
      <w:r w:rsidRPr="00EA1574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מן הישובים הנמנים בתוספת לצו זה</w:t>
      </w:r>
      <w:r w:rsidRPr="00EA157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EA157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A157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העסקה), אלא באמצעות לשכת העבודה כמשמעותה בפרק השלישי לחוק העבודה.</w:t>
      </w:r>
      <w:bookmarkEnd w:id="4"/>
    </w:p>
    <w:p w:rsidR="00EA1574" w:rsidRDefault="00EA1574" w:rsidP="007D695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1F398C" w:rsidRDefault="001956C4" w:rsidP="005511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rFonts w:cs="Miriam" w:hint="cs"/>
          <w:sz w:val="32"/>
          <w:szCs w:val="32"/>
          <w:rtl/>
          <w:lang w:eastAsia="en-US"/>
        </w:rPr>
        <w:pict>
          <v:shape id="_x0000_s1361" type="#_x0000_t202" style="position:absolute;left:0;text-align:left;margin-left:468pt;margin-top:7.1pt;width:74.35pt;height:38.3pt;z-index:251653120" filled="f" stroked="f">
            <v:textbox style="mso-next-textbox:#_x0000_s1361" inset="1mm,0,1mm,0">
              <w:txbxContent>
                <w:p w:rsidR="005014D1" w:rsidRDefault="005014D1" w:rsidP="001D3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תוספת יוקר ושכר מינימום</w:t>
                  </w:r>
                </w:p>
                <w:p w:rsidR="005014D1" w:rsidRDefault="005014D1" w:rsidP="001D3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2 (מס' 1198) תשמ"ח-1987</w:t>
                  </w:r>
                </w:p>
              </w:txbxContent>
            </v:textbox>
            <w10:anchorlock/>
          </v:shape>
        </w:pict>
      </w:r>
      <w:r w:rsidR="002053AF">
        <w:rPr>
          <w:rStyle w:val="big-number"/>
          <w:rFonts w:cs="Miriam" w:hint="cs"/>
          <w:rtl/>
        </w:rPr>
        <w:t>3</w:t>
      </w:r>
      <w:r w:rsidR="002053AF">
        <w:rPr>
          <w:rStyle w:val="default"/>
          <w:rFonts w:cs="FrankRuehl"/>
          <w:rtl/>
        </w:rPr>
        <w:t>.</w:t>
      </w:r>
      <w:r w:rsidR="002053AF">
        <w:rPr>
          <w:rStyle w:val="default"/>
          <w:rFonts w:cs="FrankRuehl"/>
          <w:rtl/>
        </w:rPr>
        <w:tab/>
      </w:r>
      <w:r w:rsidR="00BE31B6">
        <w:rPr>
          <w:rStyle w:val="default"/>
          <w:rFonts w:cs="FrankRuehl" w:hint="cs"/>
          <w:rtl/>
        </w:rPr>
        <w:t>(א)</w:t>
      </w:r>
      <w:r w:rsidR="00BE31B6">
        <w:rPr>
          <w:rStyle w:val="default"/>
          <w:rFonts w:cs="FrankRuehl" w:hint="cs"/>
          <w:rtl/>
        </w:rPr>
        <w:tab/>
      </w:r>
      <w:r w:rsidR="005511A7">
        <w:rPr>
          <w:rStyle w:val="default"/>
          <w:rFonts w:cs="FrankRuehl" w:hint="cs"/>
          <w:rtl/>
        </w:rPr>
        <w:t>אדם המועסק בישוב זכאי לקבל ממעבידו שכר עבודה שלא יפחת מהשכר המינימום וכן יהיה זכאי לתוספת יוקר, הכל כפי תקפם בישראל מעת לעת.</w:t>
      </w:r>
    </w:p>
    <w:p w:rsidR="00BE31B6" w:rsidRDefault="00BE31B6" w:rsidP="005511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הממונה </w:t>
      </w:r>
      <w:r w:rsidR="005511A7">
        <w:rPr>
          <w:rStyle w:val="default"/>
          <w:rFonts w:cs="FrankRuehl" w:hint="cs"/>
          <w:rtl/>
        </w:rPr>
        <w:t>יפרסם בהודעה את שיעוריהם של שכר המינימום ותוספת היוקר ואת מועד תחילתם</w:t>
      </w:r>
      <w:r>
        <w:rPr>
          <w:rStyle w:val="default"/>
          <w:rFonts w:cs="FrankRuehl" w:hint="cs"/>
          <w:rtl/>
        </w:rPr>
        <w:t>.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5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19.11.1987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1198) תשמ"ח-1987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76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12.9.1990 עמ' 76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3</w:t>
      </w:r>
    </w:p>
    <w:p w:rsidR="005511A7" w:rsidRPr="00EA1574" w:rsidRDefault="005511A7" w:rsidP="005511A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511A7" w:rsidRPr="00EA1574" w:rsidRDefault="005511A7" w:rsidP="005511A7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A1574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התקנת תקנות ותיקון התוספת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1574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EA157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EA157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הממונה רשאי להתקין תקנות לצורך ביצועו של צו זה לרבות תקנות בדבר:</w:t>
      </w:r>
    </w:p>
    <w:p w:rsidR="005511A7" w:rsidRPr="00EA1574" w:rsidRDefault="005511A7" w:rsidP="005511A7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שכר מינימום שיחול בהעסקה;</w:t>
      </w:r>
    </w:p>
    <w:p w:rsidR="005511A7" w:rsidRPr="00EA1574" w:rsidRDefault="005511A7" w:rsidP="005511A7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חובת דיווח של מעסיק ועובד על העסקה;</w:t>
      </w:r>
    </w:p>
    <w:p w:rsidR="005511A7" w:rsidRPr="00EA1574" w:rsidRDefault="005511A7" w:rsidP="005511A7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נהלים להפעלתה של לשכת העבודה על פי סעיף 2 לצו.</w:t>
      </w:r>
    </w:p>
    <w:p w:rsidR="005511A7" w:rsidRPr="00EA1574" w:rsidRDefault="005511A7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הממונה יהיה רשאי, באישור ראש המינהל האזרחי, לתקן את התוספת לצו זה.</w:t>
      </w:r>
      <w:bookmarkEnd w:id="6"/>
    </w:p>
    <w:p w:rsidR="005511A7" w:rsidRDefault="005511A7" w:rsidP="005511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9"/>
      <w:bookmarkEnd w:id="7"/>
      <w:r>
        <w:rPr>
          <w:rFonts w:cs="Miriam" w:hint="cs"/>
          <w:sz w:val="32"/>
          <w:szCs w:val="32"/>
          <w:rtl/>
          <w:lang w:eastAsia="en-US"/>
        </w:rPr>
        <w:pict>
          <v:shape id="_x0000_s1529" type="#_x0000_t202" style="position:absolute;left:0;text-align:left;margin-left:468pt;margin-top:7.1pt;width:74.35pt;height:29.65pt;z-index:251661312" filled="f" stroked="f">
            <v:textbox style="mso-next-textbox:#_x0000_s1529" inset="1mm,0,1mm,0">
              <w:txbxContent>
                <w:p w:rsidR="005014D1" w:rsidRDefault="005014D1" w:rsidP="005511A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התקנת תקנות</w:t>
                  </w:r>
                </w:p>
                <w:p w:rsidR="005014D1" w:rsidRDefault="005014D1" w:rsidP="005511A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2 (מס' 1198) תשמ"ח-1987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הממונה רשאי להתקין תקנות לצורך ביצועו של צו זה לרבות תקנות בדבר:</w:t>
      </w:r>
    </w:p>
    <w:p w:rsidR="005511A7" w:rsidRDefault="005511A7" w:rsidP="005511A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חובת דווח של מעסיק ועובד על העסקה;</w:t>
      </w:r>
    </w:p>
    <w:p w:rsidR="005511A7" w:rsidRDefault="005511A7" w:rsidP="005511A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נהלים להפעלתה של לשכת עבודה על פי סעיף 2 לצו.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6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19.11.1987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 (מס' 1198) תשמ"ח-1987</w:t>
      </w:r>
    </w:p>
    <w:p w:rsidR="005511A7" w:rsidRPr="00EA1574" w:rsidRDefault="005511A7" w:rsidP="005511A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76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12.9.1990 עמ' 78</w:t>
      </w:r>
    </w:p>
    <w:p w:rsidR="005511A7" w:rsidRPr="00EA1574" w:rsidRDefault="005511A7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3א</w:t>
      </w:r>
      <w:bookmarkEnd w:id="8"/>
    </w:p>
    <w:p w:rsidR="005014D1" w:rsidRDefault="005014D1" w:rsidP="00EA15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10"/>
      <w:bookmarkEnd w:id="9"/>
      <w:r>
        <w:rPr>
          <w:rFonts w:cs="Miriam" w:hint="cs"/>
          <w:sz w:val="32"/>
          <w:szCs w:val="32"/>
          <w:rtl/>
          <w:lang w:eastAsia="en-US"/>
        </w:rPr>
        <w:pict>
          <v:shape id="_x0000_s1531" type="#_x0000_t202" style="position:absolute;left:0;text-align:left;margin-left:468pt;margin-top:7.1pt;width:74.35pt;height:37.85pt;z-index:251663360" filled="f" stroked="f">
            <v:textbox style="mso-next-textbox:#_x0000_s1531" inset="1mm,0,1mm,0">
              <w:txbxContent>
                <w:p w:rsidR="005014D1" w:rsidRDefault="005014D1" w:rsidP="005014D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העסקה מחוץ לישוב על ידי ישראלי</w:t>
                  </w:r>
                </w:p>
                <w:p w:rsidR="005014D1" w:rsidRDefault="005014D1" w:rsidP="005014D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1605) תשס"ח-2007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A1574">
        <w:rPr>
          <w:rStyle w:val="default"/>
          <w:rFonts w:cs="FrankRuehl" w:hint="cs"/>
          <w:rtl/>
        </w:rPr>
        <w:t>הוראות סעיף 2 וסעיף 3 יחולו על העסקת תושב באזור או אדם, לפי העניין, כאשר ההעסקה נעשית בידי מעסיק ישראלי באזור, אף מחוץ לישוב.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7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1605) תשס"ח-2007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222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מרץ 2008 עמ' 4986</w:t>
      </w:r>
    </w:p>
    <w:p w:rsidR="005014D1" w:rsidRPr="00EA1574" w:rsidRDefault="005014D1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3ב</w:t>
      </w:r>
      <w:bookmarkEnd w:id="10"/>
    </w:p>
    <w:p w:rsidR="005014D1" w:rsidRDefault="005014D1" w:rsidP="00EA15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1"/>
      <w:bookmarkEnd w:id="11"/>
      <w:r>
        <w:rPr>
          <w:rFonts w:cs="Miriam" w:hint="cs"/>
          <w:sz w:val="32"/>
          <w:szCs w:val="32"/>
          <w:rtl/>
          <w:lang w:eastAsia="en-US"/>
        </w:rPr>
        <w:pict>
          <v:shape id="_x0000_s1532" type="#_x0000_t202" style="position:absolute;left:0;text-align:left;margin-left:468pt;margin-top:7.1pt;width:74.35pt;height:36.9pt;z-index:251664384" filled="f" stroked="f">
            <v:textbox style="mso-next-textbox:#_x0000_s1532" inset="1mm,0,1mm,0">
              <w:txbxContent>
                <w:p w:rsidR="005014D1" w:rsidRDefault="00EA1574" w:rsidP="005014D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עובד של קבלן כוח אדם</w:t>
                  </w:r>
                </w:p>
                <w:p w:rsidR="005014D1" w:rsidRDefault="005014D1" w:rsidP="005014D1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1605) תשס"ח-2007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 w:hint="cs"/>
          <w:rtl/>
        </w:rPr>
        <w:t>3</w:t>
      </w:r>
      <w:r w:rsidR="00EA1574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A1574">
        <w:rPr>
          <w:rStyle w:val="default"/>
          <w:rFonts w:cs="FrankRuehl" w:hint="cs"/>
          <w:rtl/>
        </w:rPr>
        <w:t>(א)</w:t>
      </w:r>
      <w:r w:rsidR="00EA1574">
        <w:rPr>
          <w:rStyle w:val="default"/>
          <w:rFonts w:cs="FrankRuehl" w:hint="cs"/>
          <w:rtl/>
        </w:rPr>
        <w:tab/>
        <w:t>זכות עובד של קבלן כוח אדם לתשלום תוספת יוקר ושכר מינימום כאמור בסעיפים 3 ו-3ב, תחול גם כלפי מעסיק בפועל.</w:t>
      </w:r>
    </w:p>
    <w:p w:rsidR="00EA1574" w:rsidRDefault="00EA1574" w:rsidP="00EA15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בסעיף זה </w:t>
      </w:r>
      <w:r>
        <w:rPr>
          <w:rStyle w:val="default"/>
          <w:rFonts w:cs="FrankRuehl"/>
          <w:rtl/>
        </w:rPr>
        <w:t>–</w:t>
      </w:r>
    </w:p>
    <w:p w:rsidR="00EA1574" w:rsidRDefault="00EA1574" w:rsidP="00EA15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"מעסיק בפועל"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שאצלו מועסק עובד של קבלן כוח אדם;</w:t>
      </w:r>
    </w:p>
    <w:p w:rsidR="00EA1574" w:rsidRDefault="00EA1574" w:rsidP="00EA15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"קבלן כוח אדם"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שעיסוקו במתן שירותי כוח אדם של עובדיו לשם עבודה אצל זולתו.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8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1605) תשס"ח-2007</w:t>
      </w:r>
    </w:p>
    <w:p w:rsidR="005014D1" w:rsidRPr="00EA1574" w:rsidRDefault="005014D1" w:rsidP="005014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222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מרץ 2008 עמ' 4986</w:t>
      </w:r>
    </w:p>
    <w:p w:rsidR="005014D1" w:rsidRPr="00EA1574" w:rsidRDefault="005014D1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3</w:t>
      </w:r>
      <w:r w:rsidR="00EA1574"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ג</w:t>
      </w:r>
      <w:bookmarkEnd w:id="12"/>
    </w:p>
    <w:p w:rsidR="002E532F" w:rsidRDefault="002053AF" w:rsidP="00BE3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2"/>
      <w:bookmarkEnd w:id="13"/>
      <w:r>
        <w:rPr>
          <w:rFonts w:cs="Miriam"/>
          <w:szCs w:val="32"/>
          <w:rtl/>
          <w:lang w:val="he-IL"/>
        </w:rPr>
        <w:lastRenderedPageBreak/>
        <w:pict>
          <v:shape id="_x0000_s1316" type="#_x0000_t202" style="position:absolute;left:0;text-align:left;margin-left:463.5pt;margin-top:7.1pt;width:78.85pt;height:10.7pt;z-index:251651072" filled="f" stroked="f">
            <v:textbox style="mso-next-textbox:#_x0000_s1316" inset="1mm,0,1mm,0">
              <w:txbxContent>
                <w:p w:rsidR="005014D1" w:rsidRDefault="005014D1" w:rsidP="007C244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הקניית סמכויות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E31B6">
        <w:rPr>
          <w:rStyle w:val="default"/>
          <w:rFonts w:cs="FrankRuehl" w:hint="cs"/>
          <w:rtl/>
        </w:rPr>
        <w:t>לצורך הפעלתו של צו זה יהיו נתונים לממונה כל סמכות וכל מינוי שהוקנה על פי חוק העבודה לשר לענינים הסוציאליים והעבודה ולעובדי משרדו</w:t>
      </w:r>
      <w:r w:rsidR="00F92576">
        <w:rPr>
          <w:rStyle w:val="default"/>
          <w:rFonts w:cs="FrankRuehl" w:hint="cs"/>
          <w:rtl/>
        </w:rPr>
        <w:t>.</w:t>
      </w:r>
    </w:p>
    <w:p w:rsidR="00317907" w:rsidRDefault="00317907" w:rsidP="00BE3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5"/>
      <w:bookmarkEnd w:id="14"/>
      <w:r>
        <w:rPr>
          <w:rFonts w:cs="Miriam"/>
          <w:szCs w:val="32"/>
          <w:rtl/>
          <w:lang w:val="he-IL"/>
        </w:rPr>
        <w:pict>
          <v:shape id="_x0000_s1460" type="#_x0000_t202" style="position:absolute;left:0;text-align:left;margin-left:463.5pt;margin-top:7.1pt;width:78.85pt;height:11.65pt;z-index:251654144" filled="f" stroked="f">
            <v:textbox style="mso-next-textbox:#_x0000_s1460" inset="1mm,0,1mm,0">
              <w:txbxContent>
                <w:p w:rsidR="005014D1" w:rsidRDefault="005014D1" w:rsidP="0031790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E31B6">
        <w:rPr>
          <w:rStyle w:val="default"/>
          <w:rFonts w:cs="FrankRuehl" w:hint="cs"/>
          <w:rtl/>
        </w:rPr>
        <w:t>הוראות צו זה אינן באות לגרוע מהוראות חוק העבודה אלא להוסיף עליהן</w:t>
      </w:r>
      <w:r w:rsidR="00F66737">
        <w:rPr>
          <w:rStyle w:val="default"/>
          <w:rFonts w:cs="FrankRuehl" w:hint="cs"/>
          <w:rtl/>
        </w:rPr>
        <w:t>.</w:t>
      </w:r>
    </w:p>
    <w:p w:rsidR="00EA1574" w:rsidRDefault="00EA1574" w:rsidP="00EA15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2"/>
      <w:bookmarkEnd w:id="15"/>
      <w:r>
        <w:rPr>
          <w:rFonts w:cs="Miriam" w:hint="cs"/>
          <w:sz w:val="32"/>
          <w:szCs w:val="32"/>
          <w:rtl/>
          <w:lang w:eastAsia="en-US"/>
        </w:rPr>
        <w:pict>
          <v:shape id="_x0000_s1533" type="#_x0000_t202" style="position:absolute;left:0;text-align:left;margin-left:468pt;margin-top:7.1pt;width:74.35pt;height:37.85pt;z-index:251665408" filled="f" stroked="f">
            <v:textbox style="mso-next-textbox:#_x0000_s1533" inset="1mm,0,1mm,0">
              <w:txbxContent>
                <w:p w:rsidR="00EA1574" w:rsidRDefault="00EA1574" w:rsidP="00EA157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המינהל האזרחי כמעביד</w:t>
                  </w:r>
                </w:p>
                <w:p w:rsidR="00EA1574" w:rsidRDefault="00EA1574" w:rsidP="00EA157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1605) תשס"ח-2007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מבלי לפגוע באמור בכל דין ותחיקת ביטחון, לענין צו זה דין המינהל האזרחי כמעסיק, כדין ישראלי.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9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1605) תשס"ח-2007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222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מרץ 2008 עמ' 4986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5א</w:t>
      </w:r>
      <w:bookmarkEnd w:id="16"/>
    </w:p>
    <w:p w:rsidR="00F66737" w:rsidRDefault="00F66737" w:rsidP="00EA15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6"/>
      <w:bookmarkEnd w:id="17"/>
      <w:r>
        <w:rPr>
          <w:rFonts w:cs="Miriam"/>
          <w:szCs w:val="32"/>
          <w:rtl/>
          <w:lang w:val="he-IL"/>
        </w:rPr>
        <w:pict>
          <v:shape id="_x0000_s1461" type="#_x0000_t202" style="position:absolute;left:0;text-align:left;margin-left:463.5pt;margin-top:7.1pt;width:78.85pt;height:30.2pt;z-index:251655168" filled="f" stroked="f">
            <v:textbox style="mso-next-textbox:#_x0000_s1461" inset="1mm,0,1mm,0">
              <w:txbxContent>
                <w:p w:rsidR="005014D1" w:rsidRDefault="005014D1" w:rsidP="00F6673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עונשין</w:t>
                  </w:r>
                </w:p>
                <w:p w:rsidR="00EA1574" w:rsidRDefault="00EA1574" w:rsidP="00EA157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3 (מס' 1605) תשס"ח-2007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E31B6">
        <w:rPr>
          <w:rStyle w:val="default"/>
          <w:rFonts w:cs="FrankRuehl" w:hint="cs"/>
          <w:rtl/>
        </w:rPr>
        <w:t xml:space="preserve">העובר על הוראה מהוראות צו זה או תקנות שהותקנו מכוחו דינו מאסר שנה או קנס </w:t>
      </w:r>
      <w:r w:rsidR="00EA1574" w:rsidRPr="00EA1574">
        <w:rPr>
          <w:rStyle w:val="default"/>
          <w:rFonts w:cs="FrankRuehl" w:hint="cs"/>
          <w:rtl/>
        </w:rPr>
        <w:t>כאמור בסעיף 1(א)(4) לצו בדבר העלאת קנסות שנקבעו בדין או בתחיקת בטחון (יהודה והשומרון) (מס' 845), תש"ם-1980</w:t>
      </w:r>
      <w:r w:rsidR="00CB7D6D">
        <w:rPr>
          <w:rStyle w:val="default"/>
          <w:rFonts w:cs="FrankRuehl" w:hint="cs"/>
          <w:rtl/>
        </w:rPr>
        <w:t>.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8" w:name="Rov10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 (מס' 1605) תשס"ח-2007</w:t>
      </w:r>
    </w:p>
    <w:p w:rsidR="00EA1574" w:rsidRPr="00EA1574" w:rsidRDefault="00EA1574" w:rsidP="00EA157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222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מחודש מרץ 2008 עמ' 4986</w:t>
      </w:r>
    </w:p>
    <w:p w:rsidR="00EA1574" w:rsidRPr="00EA1574" w:rsidRDefault="00EA1574" w:rsidP="00EA157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EA157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EA157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A157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העובר על הוראה מהוראות צו זה או תקנות שהותקנו מכוחו דינו מאסר שנה או קנס 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של 15,000 שקל או שני העונשים כאחד, ואם היתה העבירה עבירה נמשכת </w:t>
      </w:r>
      <w:r w:rsidRPr="00EA157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250 שקל קנס נוסף לכל יום שבו נמשכת העבירה</w:t>
      </w:r>
      <w:r w:rsidRPr="00EA157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A157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כאמור בסעיף 1(א)(4) לצו בדבר העלאת קנסות שנקבעו בדין או בתחיקת בטחון (יהודה והשומרון) (מס' 845), תש"ם-1980</w:t>
      </w:r>
      <w:r w:rsidRPr="00EA157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8"/>
    </w:p>
    <w:p w:rsidR="00F66737" w:rsidRDefault="00F66737" w:rsidP="00BE31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Cs w:val="32"/>
          <w:rtl/>
          <w:lang w:val="he-IL"/>
        </w:rPr>
        <w:pict>
          <v:shape id="_x0000_s1462" type="#_x0000_t202" style="position:absolute;left:0;text-align:left;margin-left:463.5pt;margin-top:7.1pt;width:78.85pt;height:17.85pt;z-index:251656192" filled="f" stroked="f">
            <v:textbox style="mso-next-textbox:#_x0000_s1462" inset="1mm,0,1mm,0">
              <w:txbxContent>
                <w:p w:rsidR="005014D1" w:rsidRDefault="005014D1" w:rsidP="00F6673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הצו בדבר הקמת מינהל אזרחי</w:t>
                  </w:r>
                </w:p>
              </w:txbxContent>
            </v:textbox>
          </v:shape>
        </w:pict>
      </w:r>
      <w:r w:rsidR="006C3333"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E31B6">
        <w:rPr>
          <w:rStyle w:val="default"/>
          <w:rFonts w:cs="FrankRuehl" w:hint="cs"/>
          <w:rtl/>
        </w:rPr>
        <w:t>בצו בדבר הקמת מינהל אזרחי (יהודה והשומרון) (מס' 947), התשמ"ב-1981, בסוף התוספת השניה יבוא: "צו בדבר העסקת עובדים במקומות מסוימים (יהודה והשומרון) (מס' 967), התשמ"ב-1982</w:t>
      </w:r>
      <w:r w:rsidR="006C3333">
        <w:rPr>
          <w:rStyle w:val="default"/>
          <w:rFonts w:cs="FrankRuehl" w:hint="cs"/>
          <w:rtl/>
        </w:rPr>
        <w:t>.</w:t>
      </w:r>
    </w:p>
    <w:p w:rsidR="00F66737" w:rsidRDefault="00F66737" w:rsidP="00C230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7"/>
      <w:bookmarkEnd w:id="19"/>
      <w:r>
        <w:rPr>
          <w:rFonts w:cs="Miriam"/>
          <w:szCs w:val="32"/>
          <w:rtl/>
          <w:lang w:val="he-IL"/>
        </w:rPr>
        <w:pict>
          <v:shape id="_x0000_s1463" type="#_x0000_t202" style="position:absolute;left:0;text-align:left;margin-left:463.5pt;margin-top:7.1pt;width:78.85pt;height:9.65pt;z-index:251657216" filled="f" stroked="f">
            <v:textbox style="mso-next-textbox:#_x0000_s1463" inset="1mm,0,1mm,0">
              <w:txbxContent>
                <w:p w:rsidR="005014D1" w:rsidRDefault="005014D1" w:rsidP="008067A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תוקף</w:t>
                  </w:r>
                </w:p>
              </w:txbxContent>
            </v:textbox>
          </v:shape>
        </w:pict>
      </w:r>
      <w:r w:rsidR="006C3333">
        <w:rPr>
          <w:rStyle w:val="big-number"/>
          <w:rFonts w:cs="Miriam"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230A0">
        <w:rPr>
          <w:rStyle w:val="default"/>
          <w:rFonts w:cs="FrankRuehl" w:hint="cs"/>
          <w:rtl/>
        </w:rPr>
        <w:t>תחילתו של צו זה תשעים יום מיום חתימתו</w:t>
      </w:r>
      <w:r w:rsidR="006C3333">
        <w:rPr>
          <w:rStyle w:val="default"/>
          <w:rFonts w:cs="FrankRuehl" w:hint="cs"/>
          <w:rtl/>
        </w:rPr>
        <w:t>.</w:t>
      </w:r>
    </w:p>
    <w:p w:rsidR="00F66737" w:rsidRDefault="00F66737" w:rsidP="00C230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0" w:name="Seif8"/>
      <w:bookmarkEnd w:id="20"/>
      <w:r>
        <w:rPr>
          <w:rFonts w:cs="Miriam"/>
          <w:szCs w:val="32"/>
          <w:rtl/>
          <w:lang w:val="he-IL"/>
        </w:rPr>
        <w:pict>
          <v:shape id="_x0000_s1464" type="#_x0000_t202" style="position:absolute;left:0;text-align:left;margin-left:463.5pt;margin-top:7.1pt;width:78.85pt;height:9.25pt;z-index:251658240" filled="f" stroked="f">
            <v:textbox style="mso-next-textbox:#_x0000_s1464" inset="1mm,0,1mm,0">
              <w:txbxContent>
                <w:p w:rsidR="005014D1" w:rsidRDefault="005014D1" w:rsidP="00F6673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</v:shape>
        </w:pict>
      </w:r>
      <w:r w:rsidR="006C3333">
        <w:rPr>
          <w:rStyle w:val="big-number"/>
          <w:rFonts w:cs="Miriam" w:hint="cs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C230A0">
        <w:rPr>
          <w:rStyle w:val="default"/>
          <w:rFonts w:cs="FrankRuehl" w:hint="cs"/>
          <w:rtl/>
        </w:rPr>
        <w:t>צו זה יקרא: "צו בדבר העסקת עובדים במקומות מסויימים (יהודה והשומרון) (מס' 967), התשמ"ב-1982</w:t>
      </w:r>
      <w:r w:rsidR="0001614A">
        <w:rPr>
          <w:rStyle w:val="default"/>
          <w:rFonts w:cs="FrankRuehl" w:hint="cs"/>
          <w:rtl/>
        </w:rPr>
        <w:t>.</w:t>
      </w:r>
    </w:p>
    <w:p w:rsidR="00FD1E13" w:rsidRPr="00C230A0" w:rsidRDefault="00FD1E13" w:rsidP="00C230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230A0" w:rsidRPr="00C230A0" w:rsidRDefault="007D695F" w:rsidP="00C230A0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>
        <w:rPr>
          <w:rFonts w:cs="FrankRuehl" w:hint="cs"/>
          <w:b/>
          <w:bCs/>
          <w:sz w:val="24"/>
          <w:szCs w:val="24"/>
          <w:rtl/>
          <w:lang w:eastAsia="en-US"/>
        </w:rPr>
        <w:pict>
          <v:shape id="_x0000_s1527" type="#_x0000_t202" style="position:absolute;left:0;text-align:left;margin-left:468pt;margin-top:7.1pt;width:74.35pt;height:18.5pt;z-index:251660288" filled="f" stroked="f">
            <v:textbox inset="1mm,0,1mm,0">
              <w:txbxContent>
                <w:p w:rsidR="005014D1" w:rsidRDefault="005014D1" w:rsidP="007D695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1 (מס' 1141) תשמ"ה-1985</w:t>
                  </w:r>
                </w:p>
              </w:txbxContent>
            </v:textbox>
          </v:shape>
        </w:pict>
      </w:r>
      <w:r w:rsidR="00C230A0" w:rsidRPr="00C230A0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:rsidR="00BE31B6" w:rsidRPr="00C230A0" w:rsidRDefault="00C230A0" w:rsidP="007D695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C230A0">
        <w:rPr>
          <w:rStyle w:val="default"/>
          <w:rFonts w:cs="FrankRuehl" w:hint="cs"/>
          <w:sz w:val="24"/>
          <w:szCs w:val="24"/>
          <w:rtl/>
        </w:rPr>
        <w:t>(</w:t>
      </w:r>
      <w:r w:rsidR="007D695F">
        <w:rPr>
          <w:rStyle w:val="default"/>
          <w:rFonts w:cs="FrankRuehl" w:hint="cs"/>
          <w:sz w:val="24"/>
          <w:szCs w:val="24"/>
          <w:rtl/>
        </w:rPr>
        <w:t>נמחקה</w:t>
      </w:r>
      <w:r w:rsidRPr="00C230A0">
        <w:rPr>
          <w:rStyle w:val="default"/>
          <w:rFonts w:cs="FrankRuehl" w:hint="cs"/>
          <w:sz w:val="24"/>
          <w:szCs w:val="24"/>
          <w:rtl/>
        </w:rPr>
        <w:t>)</w:t>
      </w:r>
    </w:p>
    <w:p w:rsidR="007D695F" w:rsidRPr="00EA1574" w:rsidRDefault="007D695F" w:rsidP="007D695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1" w:name="Rov11"/>
      <w:r w:rsidRPr="00EA1574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28.5.1985</w:t>
      </w:r>
    </w:p>
    <w:p w:rsidR="007D695F" w:rsidRPr="00EA1574" w:rsidRDefault="007D695F" w:rsidP="007D695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 (מס' 1141) תשמ"ה-1985</w:t>
      </w:r>
    </w:p>
    <w:p w:rsidR="007D695F" w:rsidRPr="00EA1574" w:rsidRDefault="007D695F" w:rsidP="007D695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EA157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קובץ המנשרים מס' 74</w:t>
        </w:r>
      </w:hyperlink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2.11.1986 עמ' 48</w:t>
      </w:r>
    </w:p>
    <w:p w:rsidR="007D695F" w:rsidRPr="00EA1574" w:rsidRDefault="007D695F" w:rsidP="007D695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התוספת</w:t>
      </w:r>
    </w:p>
    <w:p w:rsidR="007D695F" w:rsidRPr="00EA1574" w:rsidRDefault="007D695F" w:rsidP="007D695F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A1574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7D695F" w:rsidRPr="00EA1574" w:rsidRDefault="007D695F" w:rsidP="007D695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</w:t>
      </w:r>
    </w:p>
    <w:p w:rsidR="007D695F" w:rsidRPr="00EA1574" w:rsidRDefault="007D695F" w:rsidP="007D695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(סעיף 1)</w:t>
      </w:r>
    </w:p>
    <w:p w:rsidR="007D695F" w:rsidRPr="00EA1574" w:rsidRDefault="007D695F" w:rsidP="007D695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מעלה אדומים</w:t>
      </w:r>
    </w:p>
    <w:p w:rsidR="007D695F" w:rsidRPr="00EA1574" w:rsidRDefault="007D695F" w:rsidP="00EA157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EA157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קרית ארבע</w:t>
      </w:r>
      <w:bookmarkEnd w:id="21"/>
    </w:p>
    <w:p w:rsidR="00BE31B6" w:rsidRDefault="00BE31B6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:rsidR="002053AF" w:rsidRDefault="002053AF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:rsidR="00911999" w:rsidRDefault="00C230A0" w:rsidP="00C230A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באדר התשמ"ב (3 במרץ 1982</w:t>
      </w:r>
      <w:r w:rsidR="00911999">
        <w:rPr>
          <w:rFonts w:cs="FrankRuehl" w:hint="cs"/>
          <w:sz w:val="26"/>
          <w:rtl/>
        </w:rPr>
        <w:t>)</w:t>
      </w:r>
      <w:r w:rsidR="00911999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אור</w:t>
      </w:r>
      <w:r w:rsidR="00F92576">
        <w:rPr>
          <w:rFonts w:cs="FrankRuehl" w:hint="cs"/>
          <w:sz w:val="26"/>
          <w:rtl/>
        </w:rPr>
        <w:t xml:space="preserve">, </w:t>
      </w:r>
      <w:r w:rsidR="00926CEE">
        <w:rPr>
          <w:rFonts w:cs="FrankRuehl" w:hint="cs"/>
          <w:sz w:val="26"/>
          <w:rtl/>
        </w:rPr>
        <w:t>אלוף</w:t>
      </w:r>
    </w:p>
    <w:p w:rsidR="00857B7D" w:rsidRDefault="00911999" w:rsidP="00C230A0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 w:rsidRPr="00911999">
        <w:rPr>
          <w:rFonts w:cs="FrankRuehl" w:hint="cs"/>
          <w:sz w:val="22"/>
          <w:szCs w:val="22"/>
          <w:rtl/>
        </w:rPr>
        <w:tab/>
      </w:r>
      <w:r w:rsidR="00926CEE">
        <w:rPr>
          <w:rFonts w:cs="FrankRuehl" w:hint="cs"/>
          <w:sz w:val="22"/>
          <w:szCs w:val="22"/>
          <w:rtl/>
        </w:rPr>
        <w:t xml:space="preserve">מפקד </w:t>
      </w:r>
      <w:r w:rsidR="00C230A0">
        <w:rPr>
          <w:rFonts w:cs="FrankRuehl" w:hint="cs"/>
          <w:sz w:val="22"/>
          <w:szCs w:val="22"/>
          <w:rtl/>
        </w:rPr>
        <w:t>כוחות צה"ל</w:t>
      </w:r>
    </w:p>
    <w:p w:rsidR="00911999" w:rsidRPr="00911999" w:rsidRDefault="00857B7D" w:rsidP="00B7250A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230A0">
        <w:rPr>
          <w:rFonts w:cs="FrankRuehl" w:hint="cs"/>
          <w:sz w:val="22"/>
          <w:szCs w:val="22"/>
          <w:rtl/>
        </w:rPr>
        <w:t xml:space="preserve">באזור </w:t>
      </w:r>
      <w:r w:rsidR="00F92576">
        <w:rPr>
          <w:rFonts w:cs="FrankRuehl" w:hint="cs"/>
          <w:sz w:val="22"/>
          <w:szCs w:val="22"/>
          <w:rtl/>
        </w:rPr>
        <w:t>יהודה והשומרון</w:t>
      </w:r>
    </w:p>
    <w:p w:rsidR="00BE31B6" w:rsidRDefault="00BE31B6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:rsidR="00253756" w:rsidRDefault="00253756" w:rsidP="009119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</w:p>
    <w:p w:rsidR="00813D40" w:rsidRDefault="00813D40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:rsidR="00813D40" w:rsidRDefault="00813D40" w:rsidP="00911999">
      <w:pPr>
        <w:pStyle w:val="sig-0"/>
        <w:spacing w:before="72"/>
        <w:ind w:left="0" w:right="1134"/>
        <w:rPr>
          <w:rFonts w:cs="FrankRuehl"/>
          <w:sz w:val="26"/>
          <w:rtl/>
        </w:rPr>
      </w:pPr>
    </w:p>
    <w:p w:rsidR="00813D40" w:rsidRDefault="00813D40" w:rsidP="00813D40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2053AF" w:rsidRPr="00813D40" w:rsidRDefault="002053AF" w:rsidP="00813D40">
      <w:pPr>
        <w:pStyle w:val="sig-0"/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2053AF" w:rsidRPr="00813D40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56FB" w:rsidRDefault="00BA56FB">
      <w:r>
        <w:separator/>
      </w:r>
    </w:p>
  </w:endnote>
  <w:endnote w:type="continuationSeparator" w:id="0">
    <w:p w:rsidR="00BA56FB" w:rsidRDefault="00BA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4D1" w:rsidRDefault="005014D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014D1" w:rsidRDefault="005014D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014D1" w:rsidRDefault="005014D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3D40">
      <w:rPr>
        <w:rFonts w:cs="TopType Jerushalmi"/>
        <w:noProof/>
        <w:color w:val="000000"/>
        <w:sz w:val="14"/>
        <w:szCs w:val="14"/>
      </w:rPr>
      <w:t>Z:\000-law\yael\2012\2012-09-11\tav\666_042.doc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4D1" w:rsidRDefault="005014D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3D4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5014D1" w:rsidRDefault="005014D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014D1" w:rsidRDefault="005014D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13D40">
      <w:rPr>
        <w:rFonts w:cs="TopType Jerushalmi"/>
        <w:noProof/>
        <w:color w:val="000000"/>
        <w:sz w:val="14"/>
        <w:szCs w:val="14"/>
      </w:rPr>
      <w:t>Z:\000-law\yael\2012\2012-09-11\tav\666_042.doc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56FB" w:rsidRDefault="00BA56FB">
      <w:pPr>
        <w:pStyle w:val="a5"/>
        <w:spacing w:before="60"/>
        <w:ind w:right="1134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BA56FB" w:rsidRDefault="00BA56FB">
      <w:pPr>
        <w:spacing w:before="60"/>
        <w:ind w:right="1134"/>
      </w:pPr>
      <w:r>
        <w:separator/>
      </w:r>
    </w:p>
  </w:footnote>
  <w:footnote w:id="1">
    <w:p w:rsidR="005014D1" w:rsidRDefault="005014D1" w:rsidP="00BE31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960CD6">
          <w:rPr>
            <w:rStyle w:val="Hyperlink"/>
            <w:rFonts w:cs="FrankRuehl" w:hint="cs"/>
            <w:rtl/>
          </w:rPr>
          <w:t xml:space="preserve">קובץ המנשרים מס' </w:t>
        </w:r>
        <w:r>
          <w:rPr>
            <w:rStyle w:val="Hyperlink"/>
            <w:rFonts w:cs="FrankRuehl" w:hint="cs"/>
            <w:rtl/>
          </w:rPr>
          <w:t>53</w:t>
        </w:r>
      </w:hyperlink>
      <w:r>
        <w:rPr>
          <w:rFonts w:cs="FrankRuehl" w:hint="cs"/>
          <w:rtl/>
        </w:rPr>
        <w:t xml:space="preserve"> מיום 21.2.1983 עמ' 130.</w:t>
      </w:r>
    </w:p>
    <w:p w:rsidR="005014D1" w:rsidRDefault="005014D1" w:rsidP="000260E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C14A9D">
          <w:rPr>
            <w:rStyle w:val="Hyperlink"/>
            <w:rFonts w:cs="FrankRuehl" w:hint="cs"/>
            <w:rtl/>
          </w:rPr>
          <w:t xml:space="preserve">קובץ המנשרים מס' </w:t>
        </w:r>
        <w:r>
          <w:rPr>
            <w:rStyle w:val="Hyperlink"/>
            <w:rFonts w:cs="FrankRuehl" w:hint="cs"/>
            <w:rtl/>
          </w:rPr>
          <w:t>74</w:t>
        </w:r>
      </w:hyperlink>
      <w:r>
        <w:rPr>
          <w:rFonts w:cs="FrankRuehl" w:hint="cs"/>
          <w:rtl/>
        </w:rPr>
        <w:t xml:space="preserve"> מיום 2.11.1986 עמ' 48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(מס' 1141) תשמ"ה-1985; תחילתו ביום 28.5.1985.</w:t>
      </w:r>
    </w:p>
    <w:p w:rsidR="005014D1" w:rsidRDefault="005014D1" w:rsidP="007D69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AE4645">
          <w:rPr>
            <w:rStyle w:val="Hyperlink"/>
            <w:rFonts w:cs="FrankRuehl" w:hint="cs"/>
            <w:rtl/>
          </w:rPr>
          <w:t xml:space="preserve">קובץ המנשרים מס' </w:t>
        </w:r>
        <w:r>
          <w:rPr>
            <w:rStyle w:val="Hyperlink"/>
            <w:rFonts w:cs="FrankRuehl" w:hint="cs"/>
            <w:rtl/>
          </w:rPr>
          <w:t>76</w:t>
        </w:r>
      </w:hyperlink>
      <w:r>
        <w:rPr>
          <w:rFonts w:cs="FrankRuehl" w:hint="cs"/>
          <w:rtl/>
        </w:rPr>
        <w:t xml:space="preserve"> מיום 12.9.1990 עמ' 76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 (מס' 1198) תשמ"ח-1987; תחילתו ביום 19.11.1987.</w:t>
      </w:r>
    </w:p>
    <w:p w:rsidR="005014D1" w:rsidRPr="00366DD7" w:rsidRDefault="005014D1" w:rsidP="005511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7536E1">
          <w:rPr>
            <w:rStyle w:val="Hyperlink"/>
            <w:rFonts w:cs="FrankRuehl" w:hint="cs"/>
            <w:rtl/>
          </w:rPr>
          <w:t xml:space="preserve">קובץ המנשרים מס' </w:t>
        </w:r>
        <w:r>
          <w:rPr>
            <w:rStyle w:val="Hyperlink"/>
            <w:rFonts w:cs="FrankRuehl" w:hint="cs"/>
            <w:rtl/>
          </w:rPr>
          <w:t>222</w:t>
        </w:r>
      </w:hyperlink>
      <w:r>
        <w:rPr>
          <w:rFonts w:cs="FrankRuehl" w:hint="cs"/>
          <w:rtl/>
        </w:rPr>
        <w:t xml:space="preserve"> מחודש מרץ 2008 עמ' 4986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 (מס' 1605) תשס"ח-2007; תחילתו ביום 1.1.2008.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4D1" w:rsidRDefault="005014D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5014D1" w:rsidRDefault="005014D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014D1" w:rsidRDefault="005014D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4D1" w:rsidRDefault="005014D1" w:rsidP="00BE31B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בדבר העסקת עובדים במקומות מסויימים (יהודה והשומרון) (מס' 967), תשמ"ב-1982</w:t>
    </w:r>
  </w:p>
  <w:p w:rsidR="005014D1" w:rsidRDefault="005014D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014D1" w:rsidRDefault="005014D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739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77C"/>
    <w:rsid w:val="00011EC6"/>
    <w:rsid w:val="0001614A"/>
    <w:rsid w:val="00023674"/>
    <w:rsid w:val="000260E7"/>
    <w:rsid w:val="00063410"/>
    <w:rsid w:val="00070A3B"/>
    <w:rsid w:val="000752E2"/>
    <w:rsid w:val="000829DB"/>
    <w:rsid w:val="00084E0A"/>
    <w:rsid w:val="00090BED"/>
    <w:rsid w:val="000B2E3C"/>
    <w:rsid w:val="000B4A5D"/>
    <w:rsid w:val="000D244A"/>
    <w:rsid w:val="000D4229"/>
    <w:rsid w:val="000D4908"/>
    <w:rsid w:val="000D661F"/>
    <w:rsid w:val="00120B4B"/>
    <w:rsid w:val="0014164E"/>
    <w:rsid w:val="001416DA"/>
    <w:rsid w:val="00143C1A"/>
    <w:rsid w:val="001566AF"/>
    <w:rsid w:val="00164CE3"/>
    <w:rsid w:val="00171444"/>
    <w:rsid w:val="00172C7F"/>
    <w:rsid w:val="00185D19"/>
    <w:rsid w:val="001956C4"/>
    <w:rsid w:val="001966AA"/>
    <w:rsid w:val="001A17DA"/>
    <w:rsid w:val="001B47AC"/>
    <w:rsid w:val="001D326B"/>
    <w:rsid w:val="001E3CA0"/>
    <w:rsid w:val="001F398C"/>
    <w:rsid w:val="001F4F17"/>
    <w:rsid w:val="002053AF"/>
    <w:rsid w:val="00225D12"/>
    <w:rsid w:val="002311DB"/>
    <w:rsid w:val="00253756"/>
    <w:rsid w:val="00253D46"/>
    <w:rsid w:val="00254C4B"/>
    <w:rsid w:val="00264AFB"/>
    <w:rsid w:val="0027455F"/>
    <w:rsid w:val="00285062"/>
    <w:rsid w:val="002C1AC4"/>
    <w:rsid w:val="002E532F"/>
    <w:rsid w:val="002F2A28"/>
    <w:rsid w:val="00302303"/>
    <w:rsid w:val="00317907"/>
    <w:rsid w:val="00321282"/>
    <w:rsid w:val="00331F6C"/>
    <w:rsid w:val="00366DD7"/>
    <w:rsid w:val="003B3302"/>
    <w:rsid w:val="003D55C1"/>
    <w:rsid w:val="003D5A87"/>
    <w:rsid w:val="003F0438"/>
    <w:rsid w:val="00402B42"/>
    <w:rsid w:val="0043008A"/>
    <w:rsid w:val="0043722E"/>
    <w:rsid w:val="004508CF"/>
    <w:rsid w:val="00451645"/>
    <w:rsid w:val="00475332"/>
    <w:rsid w:val="00485F81"/>
    <w:rsid w:val="004963D7"/>
    <w:rsid w:val="004A0AD4"/>
    <w:rsid w:val="004B14A4"/>
    <w:rsid w:val="004C01E0"/>
    <w:rsid w:val="004D1872"/>
    <w:rsid w:val="005014D1"/>
    <w:rsid w:val="005511A7"/>
    <w:rsid w:val="0055782C"/>
    <w:rsid w:val="005861F9"/>
    <w:rsid w:val="005A6971"/>
    <w:rsid w:val="005B2C2E"/>
    <w:rsid w:val="005E40B0"/>
    <w:rsid w:val="005E626F"/>
    <w:rsid w:val="0060149C"/>
    <w:rsid w:val="00606058"/>
    <w:rsid w:val="006066C4"/>
    <w:rsid w:val="00625CED"/>
    <w:rsid w:val="00636CFA"/>
    <w:rsid w:val="00641E0D"/>
    <w:rsid w:val="00643D25"/>
    <w:rsid w:val="00676224"/>
    <w:rsid w:val="006C3333"/>
    <w:rsid w:val="006E6B41"/>
    <w:rsid w:val="006E7860"/>
    <w:rsid w:val="006F587F"/>
    <w:rsid w:val="0070692A"/>
    <w:rsid w:val="0072217C"/>
    <w:rsid w:val="007315F5"/>
    <w:rsid w:val="0073717C"/>
    <w:rsid w:val="007536E1"/>
    <w:rsid w:val="00771B15"/>
    <w:rsid w:val="0078591E"/>
    <w:rsid w:val="007968F7"/>
    <w:rsid w:val="007A338E"/>
    <w:rsid w:val="007B2BCC"/>
    <w:rsid w:val="007C2444"/>
    <w:rsid w:val="007D695F"/>
    <w:rsid w:val="008067AF"/>
    <w:rsid w:val="00813D40"/>
    <w:rsid w:val="008344B0"/>
    <w:rsid w:val="00857B7D"/>
    <w:rsid w:val="00877B56"/>
    <w:rsid w:val="0089610D"/>
    <w:rsid w:val="00896624"/>
    <w:rsid w:val="008B677C"/>
    <w:rsid w:val="008C4B4A"/>
    <w:rsid w:val="008D0CFB"/>
    <w:rsid w:val="008F14B7"/>
    <w:rsid w:val="008F278D"/>
    <w:rsid w:val="00911999"/>
    <w:rsid w:val="00926CEE"/>
    <w:rsid w:val="009377E0"/>
    <w:rsid w:val="00943F80"/>
    <w:rsid w:val="00960CD6"/>
    <w:rsid w:val="00994292"/>
    <w:rsid w:val="009B4BA9"/>
    <w:rsid w:val="009D0615"/>
    <w:rsid w:val="009E2AA5"/>
    <w:rsid w:val="00A26EB0"/>
    <w:rsid w:val="00A46F6E"/>
    <w:rsid w:val="00A55943"/>
    <w:rsid w:val="00A55C2A"/>
    <w:rsid w:val="00A73902"/>
    <w:rsid w:val="00A7392C"/>
    <w:rsid w:val="00A757D3"/>
    <w:rsid w:val="00A80503"/>
    <w:rsid w:val="00A825C8"/>
    <w:rsid w:val="00A941C6"/>
    <w:rsid w:val="00AA226E"/>
    <w:rsid w:val="00AA48EF"/>
    <w:rsid w:val="00AB0CDB"/>
    <w:rsid w:val="00AB754C"/>
    <w:rsid w:val="00AE4033"/>
    <w:rsid w:val="00AE4645"/>
    <w:rsid w:val="00AE4EAA"/>
    <w:rsid w:val="00AF7E1E"/>
    <w:rsid w:val="00B03B40"/>
    <w:rsid w:val="00B115BA"/>
    <w:rsid w:val="00B40BA7"/>
    <w:rsid w:val="00B40E19"/>
    <w:rsid w:val="00B53D20"/>
    <w:rsid w:val="00B7250A"/>
    <w:rsid w:val="00B831A9"/>
    <w:rsid w:val="00B91D00"/>
    <w:rsid w:val="00B9406F"/>
    <w:rsid w:val="00BA1195"/>
    <w:rsid w:val="00BA56FB"/>
    <w:rsid w:val="00BB5224"/>
    <w:rsid w:val="00BB717E"/>
    <w:rsid w:val="00BD65CB"/>
    <w:rsid w:val="00BE31B6"/>
    <w:rsid w:val="00BE7015"/>
    <w:rsid w:val="00C074DF"/>
    <w:rsid w:val="00C14A9D"/>
    <w:rsid w:val="00C230A0"/>
    <w:rsid w:val="00C3011E"/>
    <w:rsid w:val="00C3798C"/>
    <w:rsid w:val="00C51B20"/>
    <w:rsid w:val="00C53523"/>
    <w:rsid w:val="00C56AD1"/>
    <w:rsid w:val="00C67430"/>
    <w:rsid w:val="00C71695"/>
    <w:rsid w:val="00C73A6D"/>
    <w:rsid w:val="00C82F1D"/>
    <w:rsid w:val="00C834E3"/>
    <w:rsid w:val="00C943B3"/>
    <w:rsid w:val="00C953B9"/>
    <w:rsid w:val="00CA1F51"/>
    <w:rsid w:val="00CB7D6D"/>
    <w:rsid w:val="00CC0D05"/>
    <w:rsid w:val="00CC1C98"/>
    <w:rsid w:val="00CE4364"/>
    <w:rsid w:val="00CE6730"/>
    <w:rsid w:val="00CF5A40"/>
    <w:rsid w:val="00D164BE"/>
    <w:rsid w:val="00D25159"/>
    <w:rsid w:val="00D33BB2"/>
    <w:rsid w:val="00D3796A"/>
    <w:rsid w:val="00D646EA"/>
    <w:rsid w:val="00D73EA4"/>
    <w:rsid w:val="00D74C0E"/>
    <w:rsid w:val="00D87CC4"/>
    <w:rsid w:val="00E34AA7"/>
    <w:rsid w:val="00E36A59"/>
    <w:rsid w:val="00E415BD"/>
    <w:rsid w:val="00E50E33"/>
    <w:rsid w:val="00E95206"/>
    <w:rsid w:val="00EA1574"/>
    <w:rsid w:val="00ED1CA6"/>
    <w:rsid w:val="00EF5F4F"/>
    <w:rsid w:val="00F3373F"/>
    <w:rsid w:val="00F43ADB"/>
    <w:rsid w:val="00F66737"/>
    <w:rsid w:val="00F80952"/>
    <w:rsid w:val="00F84585"/>
    <w:rsid w:val="00F92576"/>
    <w:rsid w:val="00FA4A32"/>
    <w:rsid w:val="00FA5206"/>
    <w:rsid w:val="00FB2CB6"/>
    <w:rsid w:val="00FC0B94"/>
    <w:rsid w:val="00FD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BA8DE0C-B822-40C6-8823-2502E986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70/zava-0222.pdf" TargetMode="External"/><Relationship Id="rId13" Type="http://schemas.openxmlformats.org/officeDocument/2006/relationships/hyperlink" Target="http://www.nevo.co.il/Law_word/law70/zava-0222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_word/law70/zava-0074.pdf" TargetMode="External"/><Relationship Id="rId12" Type="http://schemas.openxmlformats.org/officeDocument/2006/relationships/hyperlink" Target="http://www.nevo.co.il/Law_word/law70/zava-0222.pdf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70/zava-0074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70/zava-0076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70/zava-0222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_word/law70/zava-0076.pd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70/zava-0074.pdf" TargetMode="External"/><Relationship Id="rId14" Type="http://schemas.openxmlformats.org/officeDocument/2006/relationships/hyperlink" Target="http://www.nevo.co.il/Law_word/law70/zava-0222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70/zava-0076.pdf" TargetMode="External"/><Relationship Id="rId2" Type="http://schemas.openxmlformats.org/officeDocument/2006/relationships/hyperlink" Target="http://www.nevo.co.il/Law_word/law70/zava-0074.pdf" TargetMode="External"/><Relationship Id="rId1" Type="http://schemas.openxmlformats.org/officeDocument/2006/relationships/hyperlink" Target="http://www.nevo.co.il/Law_word/law70/zava-0053.pdf" TargetMode="External"/><Relationship Id="rId4" Type="http://schemas.openxmlformats.org/officeDocument/2006/relationships/hyperlink" Target="http://www.nevo.co.il/Law_word/law70/zava-02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963</Words>
  <Characters>5495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יהודה והשומרון</vt:lpstr>
    </vt:vector>
  </TitlesOfParts>
  <Company/>
  <LinksUpToDate>false</LinksUpToDate>
  <CharactersWithSpaces>6446</CharactersWithSpaces>
  <SharedDoc>false</SharedDoc>
  <HLinks>
    <vt:vector size="162" baseType="variant">
      <vt:variant>
        <vt:i4>393283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1638526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http://www.nevo.co.il/Law_word/law70/zava-0074.pdf</vt:lpwstr>
      </vt:variant>
      <vt:variant>
        <vt:lpwstr/>
      </vt:variant>
      <vt:variant>
        <vt:i4>1900667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http://www.nevo.co.il/Law_word/law70/zava-0222.pdf</vt:lpwstr>
      </vt:variant>
      <vt:variant>
        <vt:lpwstr/>
      </vt:variant>
      <vt:variant>
        <vt:i4>1900667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http://www.nevo.co.il/Law_word/law70/zava-0222.pdf</vt:lpwstr>
      </vt:variant>
      <vt:variant>
        <vt:lpwstr/>
      </vt:variant>
      <vt:variant>
        <vt:i4>1900667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http://www.nevo.co.il/Law_word/law70/zava-0222.pdf</vt:lpwstr>
      </vt:variant>
      <vt:variant>
        <vt:lpwstr/>
      </vt:variant>
      <vt:variant>
        <vt:i4>1900667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http://www.nevo.co.il/Law_word/law70/zava-0222.pdf</vt:lpwstr>
      </vt:variant>
      <vt:variant>
        <vt:lpwstr/>
      </vt:variant>
      <vt:variant>
        <vt:i4>1769598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http://www.nevo.co.il/Law_word/law70/zava-0076.pdf</vt:lpwstr>
      </vt:variant>
      <vt:variant>
        <vt:lpwstr/>
      </vt:variant>
      <vt:variant>
        <vt:i4>1769598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http://www.nevo.co.il/Law_word/law70/zava-0076.pdf</vt:lpwstr>
      </vt:variant>
      <vt:variant>
        <vt:lpwstr/>
      </vt:variant>
      <vt:variant>
        <vt:i4>1638526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http://www.nevo.co.il/Law_word/law70/zava-0074.pdf</vt:lpwstr>
      </vt:variant>
      <vt:variant>
        <vt:lpwstr/>
      </vt:variant>
      <vt:variant>
        <vt:i4>1900667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http://www.nevo.co.il/Law_word/law70/zava-0222.pdf</vt:lpwstr>
      </vt:variant>
      <vt:variant>
        <vt:lpwstr/>
      </vt:variant>
      <vt:variant>
        <vt:i4>1638526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http://www.nevo.co.il/Law_word/law70/zava-0074.pdf</vt:lpwstr>
      </vt:variant>
      <vt:variant>
        <vt:lpwstr/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3211307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3276843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1900667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http://www.nevo.co.il/Law_word/law70/zava-0222.pdf</vt:lpwstr>
      </vt:variant>
      <vt:variant>
        <vt:lpwstr/>
      </vt:variant>
      <vt:variant>
        <vt:i4>1769598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http://www.nevo.co.il/Law_word/law70/zava-0076.pdf</vt:lpwstr>
      </vt:variant>
      <vt:variant>
        <vt:lpwstr/>
      </vt:variant>
      <vt:variant>
        <vt:i4>1638526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http://www.nevo.co.il/Law_word/law70/zava-0074.pdf</vt:lpwstr>
      </vt:variant>
      <vt:variant>
        <vt:lpwstr/>
      </vt:variant>
      <vt:variant>
        <vt:i4>1966204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http://www.nevo.co.il/Law_word/law70/zava-0053.pdf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2023-06-28T21:34:00Z</dcterms:created>
  <dcterms:modified xsi:type="dcterms:W3CDTF">2023-06-28T21:34:00Z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צו בדבר העסקת עובדים במקומות מסויימים (יהודה והשומרון) (מס' 967), תשמ"ב-1982</vt:lpwstr>
  </property>
  <property fmtid="{D5CDD505-2E9C-101B-9397-08002B2CF9AE}" pid="4" name="LAWNUMBER">
    <vt:lpwstr>0042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</Properties>
</file>