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851E27" w:rsidP="00C76A7D">
      <w:pPr>
        <w:pStyle w:val="big-header"/>
        <w:ind w:left="0" w:right="1134"/>
        <w:rPr>
          <w:rFonts w:cs="FrankRuehl" w:hint="cs"/>
          <w:sz w:val="32"/>
          <w:vertAlign w:val="subscript"/>
          <w:rtl/>
        </w:rPr>
      </w:pPr>
      <w:r>
        <w:rPr>
          <w:rFonts w:cs="FrankRuehl" w:hint="cs"/>
          <w:sz w:val="32"/>
          <w:rtl/>
        </w:rPr>
        <w:t xml:space="preserve">צו בדבר </w:t>
      </w:r>
      <w:r w:rsidR="00C76A7D">
        <w:rPr>
          <w:rFonts w:cs="FrankRuehl" w:hint="cs"/>
          <w:sz w:val="32"/>
          <w:rtl/>
        </w:rPr>
        <w:t>הרשות לכבאות והצלה (יהודה והשומרון) (מס' 1742), תשע"ד-2014</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 </w:t>
            </w:r>
          </w:p>
        </w:tc>
        <w:tc>
          <w:tcPr>
            <w:tcW w:w="5669" w:type="dxa"/>
          </w:tcPr>
          <w:p w:rsidR="00525E5F" w:rsidRPr="00525E5F" w:rsidRDefault="00525E5F" w:rsidP="00525E5F">
            <w:pPr>
              <w:rPr>
                <w:rFonts w:cs="Frankruhel" w:hint="cs"/>
                <w:rtl/>
              </w:rPr>
            </w:pPr>
            <w:r>
              <w:rPr>
                <w:rtl/>
              </w:rPr>
              <w:t>מטרת הצו</w:t>
            </w:r>
          </w:p>
        </w:tc>
        <w:tc>
          <w:tcPr>
            <w:tcW w:w="567" w:type="dxa"/>
          </w:tcPr>
          <w:p w:rsidR="00525E5F" w:rsidRPr="00525E5F" w:rsidRDefault="00525E5F" w:rsidP="00525E5F">
            <w:pPr>
              <w:rPr>
                <w:rStyle w:val="Hyperlink"/>
                <w:rFonts w:hint="cs"/>
                <w:rtl/>
              </w:rPr>
            </w:pPr>
            <w:hyperlink w:anchor="Seif1" w:tooltip="מטרת הצו"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 </w:t>
            </w:r>
          </w:p>
        </w:tc>
        <w:tc>
          <w:tcPr>
            <w:tcW w:w="5669" w:type="dxa"/>
          </w:tcPr>
          <w:p w:rsidR="00525E5F" w:rsidRPr="00525E5F" w:rsidRDefault="00525E5F" w:rsidP="00525E5F">
            <w:pPr>
              <w:rPr>
                <w:rFonts w:cs="Frankruhel" w:hint="cs"/>
                <w:rtl/>
              </w:rPr>
            </w:pPr>
            <w:r>
              <w:rPr>
                <w:rtl/>
              </w:rPr>
              <w:t>הגדרות</w:t>
            </w:r>
          </w:p>
        </w:tc>
        <w:tc>
          <w:tcPr>
            <w:tcW w:w="567" w:type="dxa"/>
          </w:tcPr>
          <w:p w:rsidR="00525E5F" w:rsidRPr="00525E5F" w:rsidRDefault="00525E5F" w:rsidP="00525E5F">
            <w:pPr>
              <w:rPr>
                <w:rStyle w:val="Hyperlink"/>
                <w:rFonts w:hint="cs"/>
                <w:rtl/>
              </w:rPr>
            </w:pPr>
            <w:hyperlink w:anchor="Seif2" w:tooltip="הגדרות"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3 </w:t>
            </w:r>
          </w:p>
        </w:tc>
        <w:tc>
          <w:tcPr>
            <w:tcW w:w="5669" w:type="dxa"/>
          </w:tcPr>
          <w:p w:rsidR="00525E5F" w:rsidRPr="00525E5F" w:rsidRDefault="00525E5F" w:rsidP="00525E5F">
            <w:pPr>
              <w:rPr>
                <w:rFonts w:cs="Frankruhel" w:hint="cs"/>
                <w:rtl/>
              </w:rPr>
            </w:pPr>
            <w:r>
              <w:rPr>
                <w:rtl/>
              </w:rPr>
              <w:t>שירותי כבאות</w:t>
            </w:r>
          </w:p>
        </w:tc>
        <w:tc>
          <w:tcPr>
            <w:tcW w:w="567" w:type="dxa"/>
          </w:tcPr>
          <w:p w:rsidR="00525E5F" w:rsidRPr="00525E5F" w:rsidRDefault="00525E5F" w:rsidP="00525E5F">
            <w:pPr>
              <w:rPr>
                <w:rStyle w:val="Hyperlink"/>
                <w:rFonts w:hint="cs"/>
                <w:rtl/>
              </w:rPr>
            </w:pPr>
            <w:hyperlink w:anchor="Seif6" w:tooltip="שירותי כבאות"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4 </w:t>
            </w:r>
          </w:p>
        </w:tc>
        <w:tc>
          <w:tcPr>
            <w:tcW w:w="5669" w:type="dxa"/>
          </w:tcPr>
          <w:p w:rsidR="00525E5F" w:rsidRPr="00525E5F" w:rsidRDefault="00525E5F" w:rsidP="00525E5F">
            <w:pPr>
              <w:rPr>
                <w:rFonts w:cs="Frankruhel" w:hint="cs"/>
                <w:rtl/>
              </w:rPr>
            </w:pPr>
            <w:r>
              <w:rPr>
                <w:rtl/>
              </w:rPr>
              <w:t>הכבאי בתפקיד</w:t>
            </w:r>
          </w:p>
        </w:tc>
        <w:tc>
          <w:tcPr>
            <w:tcW w:w="567" w:type="dxa"/>
          </w:tcPr>
          <w:p w:rsidR="00525E5F" w:rsidRPr="00525E5F" w:rsidRDefault="00525E5F" w:rsidP="00525E5F">
            <w:pPr>
              <w:rPr>
                <w:rStyle w:val="Hyperlink"/>
                <w:rFonts w:hint="cs"/>
                <w:rtl/>
              </w:rPr>
            </w:pPr>
            <w:hyperlink w:anchor="Seif9" w:tooltip="הכבאי בתפקיד"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5 </w:t>
            </w:r>
          </w:p>
        </w:tc>
        <w:tc>
          <w:tcPr>
            <w:tcW w:w="5669" w:type="dxa"/>
          </w:tcPr>
          <w:p w:rsidR="00525E5F" w:rsidRPr="00525E5F" w:rsidRDefault="00525E5F" w:rsidP="00525E5F">
            <w:pPr>
              <w:rPr>
                <w:rFonts w:cs="Frankruhel" w:hint="cs"/>
                <w:rtl/>
              </w:rPr>
            </w:pPr>
            <w:r>
              <w:rPr>
                <w:rtl/>
              </w:rPr>
              <w:t>סמכויות כבאי</w:t>
            </w:r>
          </w:p>
        </w:tc>
        <w:tc>
          <w:tcPr>
            <w:tcW w:w="567" w:type="dxa"/>
          </w:tcPr>
          <w:p w:rsidR="00525E5F" w:rsidRPr="00525E5F" w:rsidRDefault="00525E5F" w:rsidP="00525E5F">
            <w:pPr>
              <w:rPr>
                <w:rStyle w:val="Hyperlink"/>
                <w:rFonts w:hint="cs"/>
                <w:rtl/>
              </w:rPr>
            </w:pPr>
            <w:hyperlink w:anchor="Seif5" w:tooltip="סמכויות כבאי"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6 </w:t>
            </w:r>
          </w:p>
        </w:tc>
        <w:tc>
          <w:tcPr>
            <w:tcW w:w="5669" w:type="dxa"/>
          </w:tcPr>
          <w:p w:rsidR="00525E5F" w:rsidRPr="00525E5F" w:rsidRDefault="00525E5F" w:rsidP="00525E5F">
            <w:pPr>
              <w:rPr>
                <w:rFonts w:cs="Frankruhel" w:hint="cs"/>
                <w:rtl/>
              </w:rPr>
            </w:pPr>
            <w:r>
              <w:rPr>
                <w:rtl/>
              </w:rPr>
              <w:t>טיפול בחומרים מסוכנים</w:t>
            </w:r>
          </w:p>
        </w:tc>
        <w:tc>
          <w:tcPr>
            <w:tcW w:w="567" w:type="dxa"/>
          </w:tcPr>
          <w:p w:rsidR="00525E5F" w:rsidRPr="00525E5F" w:rsidRDefault="00525E5F" w:rsidP="00525E5F">
            <w:pPr>
              <w:rPr>
                <w:rStyle w:val="Hyperlink"/>
                <w:rFonts w:hint="cs"/>
                <w:rtl/>
              </w:rPr>
            </w:pPr>
            <w:hyperlink w:anchor="Seif3" w:tooltip="טיפול בחומרים מסוכנים"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7 </w:t>
            </w:r>
          </w:p>
        </w:tc>
        <w:tc>
          <w:tcPr>
            <w:tcW w:w="5669" w:type="dxa"/>
          </w:tcPr>
          <w:p w:rsidR="00525E5F" w:rsidRPr="00525E5F" w:rsidRDefault="00525E5F" w:rsidP="00525E5F">
            <w:pPr>
              <w:rPr>
                <w:rFonts w:cs="Frankruhel" w:hint="cs"/>
                <w:rtl/>
              </w:rPr>
            </w:pPr>
            <w:r>
              <w:rPr>
                <w:rtl/>
              </w:rPr>
              <w:t>יער וחורש</w:t>
            </w:r>
          </w:p>
        </w:tc>
        <w:tc>
          <w:tcPr>
            <w:tcW w:w="567" w:type="dxa"/>
          </w:tcPr>
          <w:p w:rsidR="00525E5F" w:rsidRPr="00525E5F" w:rsidRDefault="00525E5F" w:rsidP="00525E5F">
            <w:pPr>
              <w:rPr>
                <w:rStyle w:val="Hyperlink"/>
                <w:rFonts w:hint="cs"/>
                <w:rtl/>
              </w:rPr>
            </w:pPr>
            <w:hyperlink w:anchor="Seif7" w:tooltip="יער וחורש"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8 </w:t>
            </w:r>
          </w:p>
        </w:tc>
        <w:tc>
          <w:tcPr>
            <w:tcW w:w="5669" w:type="dxa"/>
          </w:tcPr>
          <w:p w:rsidR="00525E5F" w:rsidRPr="00525E5F" w:rsidRDefault="00525E5F" w:rsidP="00525E5F">
            <w:pPr>
              <w:rPr>
                <w:rFonts w:cs="Frankruhel" w:hint="cs"/>
                <w:rtl/>
              </w:rPr>
            </w:pPr>
            <w:r>
              <w:rPr>
                <w:rtl/>
              </w:rPr>
              <w:t>צוותי כיבוי בתחום רשות מקומית</w:t>
            </w:r>
          </w:p>
        </w:tc>
        <w:tc>
          <w:tcPr>
            <w:tcW w:w="567" w:type="dxa"/>
          </w:tcPr>
          <w:p w:rsidR="00525E5F" w:rsidRPr="00525E5F" w:rsidRDefault="00525E5F" w:rsidP="00525E5F">
            <w:pPr>
              <w:rPr>
                <w:rStyle w:val="Hyperlink"/>
                <w:rFonts w:hint="cs"/>
                <w:rtl/>
              </w:rPr>
            </w:pPr>
            <w:hyperlink w:anchor="Seif8" w:tooltip="צוותי כיבוי בתחום רשות מקומית"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9 </w:t>
            </w:r>
          </w:p>
        </w:tc>
        <w:tc>
          <w:tcPr>
            <w:tcW w:w="5669" w:type="dxa"/>
          </w:tcPr>
          <w:p w:rsidR="00525E5F" w:rsidRPr="00525E5F" w:rsidRDefault="00525E5F" w:rsidP="00525E5F">
            <w:pPr>
              <w:rPr>
                <w:rFonts w:cs="Frankruhel" w:hint="cs"/>
                <w:rtl/>
              </w:rPr>
            </w:pPr>
            <w:r>
              <w:rPr>
                <w:rtl/>
              </w:rPr>
              <w:t>אישור תוכנית יער וחורש</w:t>
            </w:r>
          </w:p>
        </w:tc>
        <w:tc>
          <w:tcPr>
            <w:tcW w:w="567" w:type="dxa"/>
          </w:tcPr>
          <w:p w:rsidR="00525E5F" w:rsidRPr="00525E5F" w:rsidRDefault="00525E5F" w:rsidP="00525E5F">
            <w:pPr>
              <w:rPr>
                <w:rStyle w:val="Hyperlink"/>
                <w:rFonts w:hint="cs"/>
                <w:rtl/>
              </w:rPr>
            </w:pPr>
            <w:hyperlink w:anchor="Seif4" w:tooltip="אישור תוכנית יער וחורש"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10 </w:t>
            </w:r>
          </w:p>
        </w:tc>
        <w:tc>
          <w:tcPr>
            <w:tcW w:w="5669" w:type="dxa"/>
          </w:tcPr>
          <w:p w:rsidR="00525E5F" w:rsidRPr="00525E5F" w:rsidRDefault="00525E5F" w:rsidP="00525E5F">
            <w:pPr>
              <w:rPr>
                <w:rFonts w:cs="Frankruhel" w:hint="cs"/>
                <w:rtl/>
              </w:rPr>
            </w:pPr>
            <w:r>
              <w:rPr>
                <w:rtl/>
              </w:rPr>
              <w:t>שלטון מקומי</w:t>
            </w:r>
          </w:p>
        </w:tc>
        <w:tc>
          <w:tcPr>
            <w:tcW w:w="567" w:type="dxa"/>
          </w:tcPr>
          <w:p w:rsidR="00525E5F" w:rsidRPr="00525E5F" w:rsidRDefault="00525E5F" w:rsidP="00525E5F">
            <w:pPr>
              <w:rPr>
                <w:rStyle w:val="Hyperlink"/>
                <w:rFonts w:hint="cs"/>
                <w:rtl/>
              </w:rPr>
            </w:pPr>
            <w:hyperlink w:anchor="Seif10" w:tooltip="שלטון מקומי"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11 </w:t>
            </w:r>
          </w:p>
        </w:tc>
        <w:tc>
          <w:tcPr>
            <w:tcW w:w="5669" w:type="dxa"/>
          </w:tcPr>
          <w:p w:rsidR="00525E5F" w:rsidRPr="00525E5F" w:rsidRDefault="00525E5F" w:rsidP="00525E5F">
            <w:pPr>
              <w:rPr>
                <w:rFonts w:cs="Frankruhel" w:hint="cs"/>
                <w:rtl/>
              </w:rPr>
            </w:pPr>
            <w:r>
              <w:rPr>
                <w:rtl/>
              </w:rPr>
              <w:t>צו הפסקה מנהלי</w:t>
            </w:r>
          </w:p>
        </w:tc>
        <w:tc>
          <w:tcPr>
            <w:tcW w:w="567" w:type="dxa"/>
          </w:tcPr>
          <w:p w:rsidR="00525E5F" w:rsidRPr="00525E5F" w:rsidRDefault="00525E5F" w:rsidP="00525E5F">
            <w:pPr>
              <w:rPr>
                <w:rStyle w:val="Hyperlink"/>
                <w:rFonts w:hint="cs"/>
                <w:rtl/>
              </w:rPr>
            </w:pPr>
            <w:hyperlink w:anchor="Seif11" w:tooltip="צו הפסקה מנהלי"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12 </w:t>
            </w:r>
          </w:p>
        </w:tc>
        <w:tc>
          <w:tcPr>
            <w:tcW w:w="5669" w:type="dxa"/>
          </w:tcPr>
          <w:p w:rsidR="00525E5F" w:rsidRPr="00525E5F" w:rsidRDefault="00525E5F" w:rsidP="00525E5F">
            <w:pPr>
              <w:rPr>
                <w:rFonts w:cs="Frankruhel" w:hint="cs"/>
                <w:rtl/>
              </w:rPr>
            </w:pPr>
            <w:r>
              <w:rPr>
                <w:rtl/>
              </w:rPr>
              <w:t>סמכויות חוקר דליקות וסמכויות מפקח</w:t>
            </w:r>
          </w:p>
        </w:tc>
        <w:tc>
          <w:tcPr>
            <w:tcW w:w="567" w:type="dxa"/>
          </w:tcPr>
          <w:p w:rsidR="00525E5F" w:rsidRPr="00525E5F" w:rsidRDefault="00525E5F" w:rsidP="00525E5F">
            <w:pPr>
              <w:rPr>
                <w:rStyle w:val="Hyperlink"/>
                <w:rFonts w:hint="cs"/>
                <w:rtl/>
              </w:rPr>
            </w:pPr>
            <w:hyperlink w:anchor="Seif12" w:tooltip="סמכויות חוקר דליקות וסמכויות מפקח"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13 </w:t>
            </w:r>
          </w:p>
        </w:tc>
        <w:tc>
          <w:tcPr>
            <w:tcW w:w="5669" w:type="dxa"/>
          </w:tcPr>
          <w:p w:rsidR="00525E5F" w:rsidRPr="00525E5F" w:rsidRDefault="00525E5F" w:rsidP="00525E5F">
            <w:pPr>
              <w:rPr>
                <w:rFonts w:cs="Frankruhel" w:hint="cs"/>
                <w:rtl/>
              </w:rPr>
            </w:pPr>
            <w:r>
              <w:rPr>
                <w:rtl/>
              </w:rPr>
              <w:t>רישוי עסקים</w:t>
            </w:r>
          </w:p>
        </w:tc>
        <w:tc>
          <w:tcPr>
            <w:tcW w:w="567" w:type="dxa"/>
          </w:tcPr>
          <w:p w:rsidR="00525E5F" w:rsidRPr="00525E5F" w:rsidRDefault="00525E5F" w:rsidP="00525E5F">
            <w:pPr>
              <w:rPr>
                <w:rStyle w:val="Hyperlink"/>
                <w:rFonts w:hint="cs"/>
                <w:rtl/>
              </w:rPr>
            </w:pPr>
            <w:hyperlink w:anchor="Seif13" w:tooltip="רישוי עסקים"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14 </w:t>
            </w:r>
          </w:p>
        </w:tc>
        <w:tc>
          <w:tcPr>
            <w:tcW w:w="5669" w:type="dxa"/>
          </w:tcPr>
          <w:p w:rsidR="00525E5F" w:rsidRPr="00525E5F" w:rsidRDefault="00525E5F" w:rsidP="00525E5F">
            <w:pPr>
              <w:rPr>
                <w:rFonts w:cs="Frankruhel" w:hint="cs"/>
                <w:rtl/>
              </w:rPr>
            </w:pPr>
            <w:r>
              <w:rPr>
                <w:rtl/>
              </w:rPr>
              <w:t>הוראות בדבר הספקת מים</w:t>
            </w:r>
          </w:p>
        </w:tc>
        <w:tc>
          <w:tcPr>
            <w:tcW w:w="567" w:type="dxa"/>
          </w:tcPr>
          <w:p w:rsidR="00525E5F" w:rsidRPr="00525E5F" w:rsidRDefault="00525E5F" w:rsidP="00525E5F">
            <w:pPr>
              <w:rPr>
                <w:rStyle w:val="Hyperlink"/>
                <w:rFonts w:hint="cs"/>
                <w:rtl/>
              </w:rPr>
            </w:pPr>
            <w:hyperlink w:anchor="Seif14" w:tooltip="הוראות בדבר הספקת מים"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p>
        </w:tc>
        <w:tc>
          <w:tcPr>
            <w:tcW w:w="5669" w:type="dxa"/>
          </w:tcPr>
          <w:p w:rsidR="00525E5F" w:rsidRPr="00525E5F" w:rsidRDefault="00525E5F" w:rsidP="00525E5F">
            <w:pPr>
              <w:rPr>
                <w:rFonts w:cs="Frankruhel" w:hint="cs"/>
                <w:rtl/>
              </w:rPr>
            </w:pPr>
            <w:r>
              <w:rPr>
                <w:rtl/>
              </w:rPr>
              <w:t>עונשין</w:t>
            </w:r>
          </w:p>
        </w:tc>
        <w:tc>
          <w:tcPr>
            <w:tcW w:w="567" w:type="dxa"/>
          </w:tcPr>
          <w:p w:rsidR="00525E5F" w:rsidRPr="00525E5F" w:rsidRDefault="00525E5F" w:rsidP="00525E5F">
            <w:pPr>
              <w:rPr>
                <w:rStyle w:val="Hyperlink"/>
                <w:rFonts w:hint="cs"/>
                <w:rtl/>
              </w:rPr>
            </w:pPr>
            <w:hyperlink w:anchor="med0" w:tooltip="עונשין"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15 </w:t>
            </w:r>
          </w:p>
        </w:tc>
        <w:tc>
          <w:tcPr>
            <w:tcW w:w="5669" w:type="dxa"/>
          </w:tcPr>
          <w:p w:rsidR="00525E5F" w:rsidRPr="00525E5F" w:rsidRDefault="00525E5F" w:rsidP="00525E5F">
            <w:pPr>
              <w:rPr>
                <w:rFonts w:cs="Frankruhel" w:hint="cs"/>
                <w:rtl/>
              </w:rPr>
            </w:pPr>
            <w:r>
              <w:rPr>
                <w:rtl/>
              </w:rPr>
              <w:t>הפרעה לצוות כיבוי</w:t>
            </w:r>
          </w:p>
        </w:tc>
        <w:tc>
          <w:tcPr>
            <w:tcW w:w="567" w:type="dxa"/>
          </w:tcPr>
          <w:p w:rsidR="00525E5F" w:rsidRPr="00525E5F" w:rsidRDefault="00525E5F" w:rsidP="00525E5F">
            <w:pPr>
              <w:rPr>
                <w:rStyle w:val="Hyperlink"/>
                <w:rFonts w:hint="cs"/>
                <w:rtl/>
              </w:rPr>
            </w:pPr>
            <w:hyperlink w:anchor="Seif15" w:tooltip="הפרעה לצוות כיבוי"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16 </w:t>
            </w:r>
          </w:p>
        </w:tc>
        <w:tc>
          <w:tcPr>
            <w:tcW w:w="5669" w:type="dxa"/>
          </w:tcPr>
          <w:p w:rsidR="00525E5F" w:rsidRPr="00525E5F" w:rsidRDefault="00525E5F" w:rsidP="00525E5F">
            <w:pPr>
              <w:rPr>
                <w:rFonts w:cs="Frankruhel" w:hint="cs"/>
                <w:rtl/>
              </w:rPr>
            </w:pPr>
            <w:r>
              <w:rPr>
                <w:rtl/>
              </w:rPr>
              <w:t>השפעה שלא כדין</w:t>
            </w:r>
          </w:p>
        </w:tc>
        <w:tc>
          <w:tcPr>
            <w:tcW w:w="567" w:type="dxa"/>
          </w:tcPr>
          <w:p w:rsidR="00525E5F" w:rsidRPr="00525E5F" w:rsidRDefault="00525E5F" w:rsidP="00525E5F">
            <w:pPr>
              <w:rPr>
                <w:rStyle w:val="Hyperlink"/>
                <w:rFonts w:hint="cs"/>
                <w:rtl/>
              </w:rPr>
            </w:pPr>
            <w:hyperlink w:anchor="Seif16" w:tooltip="השפעה שלא כדין"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17 </w:t>
            </w:r>
          </w:p>
        </w:tc>
        <w:tc>
          <w:tcPr>
            <w:tcW w:w="5669" w:type="dxa"/>
          </w:tcPr>
          <w:p w:rsidR="00525E5F" w:rsidRPr="00525E5F" w:rsidRDefault="00525E5F" w:rsidP="00525E5F">
            <w:pPr>
              <w:rPr>
                <w:rFonts w:cs="Frankruhel" w:hint="cs"/>
                <w:rtl/>
              </w:rPr>
            </w:pPr>
            <w:r>
              <w:rPr>
                <w:rtl/>
              </w:rPr>
              <w:t>עבירות בטיחות באש</w:t>
            </w:r>
          </w:p>
        </w:tc>
        <w:tc>
          <w:tcPr>
            <w:tcW w:w="567" w:type="dxa"/>
          </w:tcPr>
          <w:p w:rsidR="00525E5F" w:rsidRPr="00525E5F" w:rsidRDefault="00525E5F" w:rsidP="00525E5F">
            <w:pPr>
              <w:rPr>
                <w:rStyle w:val="Hyperlink"/>
                <w:rFonts w:hint="cs"/>
                <w:rtl/>
              </w:rPr>
            </w:pPr>
            <w:hyperlink w:anchor="Seif17" w:tooltip="עבירות בטיחות באש"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18 </w:t>
            </w:r>
          </w:p>
        </w:tc>
        <w:tc>
          <w:tcPr>
            <w:tcW w:w="5669" w:type="dxa"/>
          </w:tcPr>
          <w:p w:rsidR="00525E5F" w:rsidRPr="00525E5F" w:rsidRDefault="00525E5F" w:rsidP="00525E5F">
            <w:pPr>
              <w:rPr>
                <w:rFonts w:cs="Frankruhel" w:hint="cs"/>
                <w:rtl/>
              </w:rPr>
            </w:pPr>
            <w:r>
              <w:rPr>
                <w:rtl/>
              </w:rPr>
              <w:t>עבירה בקשר לתחקיר מבצעי</w:t>
            </w:r>
          </w:p>
        </w:tc>
        <w:tc>
          <w:tcPr>
            <w:tcW w:w="567" w:type="dxa"/>
          </w:tcPr>
          <w:p w:rsidR="00525E5F" w:rsidRPr="00525E5F" w:rsidRDefault="00525E5F" w:rsidP="00525E5F">
            <w:pPr>
              <w:rPr>
                <w:rStyle w:val="Hyperlink"/>
                <w:rFonts w:hint="cs"/>
                <w:rtl/>
              </w:rPr>
            </w:pPr>
            <w:hyperlink w:anchor="Seif18" w:tooltip="עבירה בקשר לתחקיר מבצעי"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19 </w:t>
            </w:r>
          </w:p>
        </w:tc>
        <w:tc>
          <w:tcPr>
            <w:tcW w:w="5669" w:type="dxa"/>
          </w:tcPr>
          <w:p w:rsidR="00525E5F" w:rsidRPr="00525E5F" w:rsidRDefault="00525E5F" w:rsidP="00525E5F">
            <w:pPr>
              <w:rPr>
                <w:rFonts w:cs="Frankruhel" w:hint="cs"/>
                <w:rtl/>
              </w:rPr>
            </w:pPr>
            <w:r>
              <w:rPr>
                <w:rtl/>
              </w:rPr>
              <w:t>עבירה שהשיגה טובת הנאה</w:t>
            </w:r>
          </w:p>
        </w:tc>
        <w:tc>
          <w:tcPr>
            <w:tcW w:w="567" w:type="dxa"/>
          </w:tcPr>
          <w:p w:rsidR="00525E5F" w:rsidRPr="00525E5F" w:rsidRDefault="00525E5F" w:rsidP="00525E5F">
            <w:pPr>
              <w:rPr>
                <w:rStyle w:val="Hyperlink"/>
                <w:rFonts w:hint="cs"/>
                <w:rtl/>
              </w:rPr>
            </w:pPr>
            <w:hyperlink w:anchor="Seif19" w:tooltip="עבירה שהשיגה טובת הנאה"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20 </w:t>
            </w:r>
          </w:p>
        </w:tc>
        <w:tc>
          <w:tcPr>
            <w:tcW w:w="5669" w:type="dxa"/>
          </w:tcPr>
          <w:p w:rsidR="00525E5F" w:rsidRPr="00525E5F" w:rsidRDefault="00525E5F" w:rsidP="00525E5F">
            <w:pPr>
              <w:rPr>
                <w:rFonts w:cs="Frankruhel" w:hint="cs"/>
                <w:rtl/>
              </w:rPr>
            </w:pPr>
            <w:r>
              <w:rPr>
                <w:rtl/>
              </w:rPr>
              <w:t>הפרת צו</w:t>
            </w:r>
          </w:p>
        </w:tc>
        <w:tc>
          <w:tcPr>
            <w:tcW w:w="567" w:type="dxa"/>
          </w:tcPr>
          <w:p w:rsidR="00525E5F" w:rsidRPr="00525E5F" w:rsidRDefault="00525E5F" w:rsidP="00525E5F">
            <w:pPr>
              <w:rPr>
                <w:rStyle w:val="Hyperlink"/>
                <w:rFonts w:hint="cs"/>
                <w:rtl/>
              </w:rPr>
            </w:pPr>
            <w:hyperlink w:anchor="Seif20" w:tooltip="הפרת צו"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21 </w:t>
            </w:r>
          </w:p>
        </w:tc>
        <w:tc>
          <w:tcPr>
            <w:tcW w:w="5669" w:type="dxa"/>
          </w:tcPr>
          <w:p w:rsidR="00525E5F" w:rsidRPr="00525E5F" w:rsidRDefault="00525E5F" w:rsidP="00525E5F">
            <w:pPr>
              <w:rPr>
                <w:rFonts w:cs="Frankruhel" w:hint="cs"/>
                <w:rtl/>
              </w:rPr>
            </w:pPr>
            <w:r>
              <w:rPr>
                <w:rtl/>
              </w:rPr>
              <w:t>אחריות נושאי משרה בתאגיד</w:t>
            </w:r>
          </w:p>
        </w:tc>
        <w:tc>
          <w:tcPr>
            <w:tcW w:w="567" w:type="dxa"/>
          </w:tcPr>
          <w:p w:rsidR="00525E5F" w:rsidRPr="00525E5F" w:rsidRDefault="00525E5F" w:rsidP="00525E5F">
            <w:pPr>
              <w:rPr>
                <w:rStyle w:val="Hyperlink"/>
                <w:rFonts w:hint="cs"/>
                <w:rtl/>
              </w:rPr>
            </w:pPr>
            <w:hyperlink w:anchor="Seif21" w:tooltip="אחריות נושאי משרה בתאגיד"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p>
        </w:tc>
        <w:tc>
          <w:tcPr>
            <w:tcW w:w="5669" w:type="dxa"/>
          </w:tcPr>
          <w:p w:rsidR="00525E5F" w:rsidRPr="00525E5F" w:rsidRDefault="00525E5F" w:rsidP="00525E5F">
            <w:pPr>
              <w:rPr>
                <w:rFonts w:cs="Frankruhel" w:hint="cs"/>
                <w:rtl/>
              </w:rPr>
            </w:pPr>
            <w:r>
              <w:rPr>
                <w:rtl/>
              </w:rPr>
              <w:t>תחולת החוק על צה"ל</w:t>
            </w:r>
          </w:p>
        </w:tc>
        <w:tc>
          <w:tcPr>
            <w:tcW w:w="567" w:type="dxa"/>
          </w:tcPr>
          <w:p w:rsidR="00525E5F" w:rsidRPr="00525E5F" w:rsidRDefault="00525E5F" w:rsidP="00525E5F">
            <w:pPr>
              <w:rPr>
                <w:rStyle w:val="Hyperlink"/>
                <w:rFonts w:hint="cs"/>
                <w:rtl/>
              </w:rPr>
            </w:pPr>
            <w:hyperlink w:anchor="med1" w:tooltip="תחולת החוק על צהל"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22 </w:t>
            </w:r>
          </w:p>
        </w:tc>
        <w:tc>
          <w:tcPr>
            <w:tcW w:w="5669" w:type="dxa"/>
          </w:tcPr>
          <w:p w:rsidR="00525E5F" w:rsidRPr="00525E5F" w:rsidRDefault="00525E5F" w:rsidP="00525E5F">
            <w:pPr>
              <w:rPr>
                <w:rFonts w:cs="Frankruhel" w:hint="cs"/>
                <w:rtl/>
              </w:rPr>
            </w:pPr>
            <w:r>
              <w:rPr>
                <w:rtl/>
              </w:rPr>
              <w:t>תחולת החוק על צה"ל</w:t>
            </w:r>
          </w:p>
        </w:tc>
        <w:tc>
          <w:tcPr>
            <w:tcW w:w="567" w:type="dxa"/>
          </w:tcPr>
          <w:p w:rsidR="00525E5F" w:rsidRPr="00525E5F" w:rsidRDefault="00525E5F" w:rsidP="00525E5F">
            <w:pPr>
              <w:rPr>
                <w:rStyle w:val="Hyperlink"/>
                <w:rFonts w:hint="cs"/>
                <w:rtl/>
              </w:rPr>
            </w:pPr>
            <w:hyperlink w:anchor="Seif22" w:tooltip="תחולת החוק על צהל"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p>
        </w:tc>
        <w:tc>
          <w:tcPr>
            <w:tcW w:w="5669" w:type="dxa"/>
          </w:tcPr>
          <w:p w:rsidR="00525E5F" w:rsidRPr="00525E5F" w:rsidRDefault="00525E5F" w:rsidP="00525E5F">
            <w:pPr>
              <w:rPr>
                <w:rFonts w:cs="Frankruhel" w:hint="cs"/>
                <w:rtl/>
              </w:rPr>
            </w:pPr>
            <w:r>
              <w:rPr>
                <w:rtl/>
              </w:rPr>
              <w:t>שונות</w:t>
            </w:r>
          </w:p>
        </w:tc>
        <w:tc>
          <w:tcPr>
            <w:tcW w:w="567" w:type="dxa"/>
          </w:tcPr>
          <w:p w:rsidR="00525E5F" w:rsidRPr="00525E5F" w:rsidRDefault="00525E5F" w:rsidP="00525E5F">
            <w:pPr>
              <w:rPr>
                <w:rStyle w:val="Hyperlink"/>
                <w:rFonts w:hint="cs"/>
                <w:rtl/>
              </w:rPr>
            </w:pPr>
            <w:hyperlink w:anchor="med2" w:tooltip="שונות"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23 </w:t>
            </w:r>
          </w:p>
        </w:tc>
        <w:tc>
          <w:tcPr>
            <w:tcW w:w="5669" w:type="dxa"/>
          </w:tcPr>
          <w:p w:rsidR="00525E5F" w:rsidRPr="00525E5F" w:rsidRDefault="00525E5F" w:rsidP="00525E5F">
            <w:pPr>
              <w:rPr>
                <w:rFonts w:cs="Frankruhel" w:hint="cs"/>
                <w:rtl/>
              </w:rPr>
            </w:pPr>
            <w:r>
              <w:rPr>
                <w:rtl/>
              </w:rPr>
              <w:t>עיון חוזר וערר על הקצאת כבאים בתשלום</w:t>
            </w:r>
          </w:p>
        </w:tc>
        <w:tc>
          <w:tcPr>
            <w:tcW w:w="567" w:type="dxa"/>
          </w:tcPr>
          <w:p w:rsidR="00525E5F" w:rsidRPr="00525E5F" w:rsidRDefault="00525E5F" w:rsidP="00525E5F">
            <w:pPr>
              <w:rPr>
                <w:rStyle w:val="Hyperlink"/>
                <w:rFonts w:hint="cs"/>
                <w:rtl/>
              </w:rPr>
            </w:pPr>
            <w:hyperlink w:anchor="Seif23" w:tooltip="עיון חוזר וערר על הקצאת כבאים בתשלום"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24 </w:t>
            </w:r>
          </w:p>
        </w:tc>
        <w:tc>
          <w:tcPr>
            <w:tcW w:w="5669" w:type="dxa"/>
          </w:tcPr>
          <w:p w:rsidR="00525E5F" w:rsidRPr="00525E5F" w:rsidRDefault="00525E5F" w:rsidP="00525E5F">
            <w:pPr>
              <w:rPr>
                <w:rFonts w:cs="Frankruhel" w:hint="cs"/>
                <w:rtl/>
              </w:rPr>
            </w:pPr>
            <w:r>
              <w:rPr>
                <w:rtl/>
              </w:rPr>
              <w:t>פירוק איגודי ערים</w:t>
            </w:r>
          </w:p>
        </w:tc>
        <w:tc>
          <w:tcPr>
            <w:tcW w:w="567" w:type="dxa"/>
          </w:tcPr>
          <w:p w:rsidR="00525E5F" w:rsidRPr="00525E5F" w:rsidRDefault="00525E5F" w:rsidP="00525E5F">
            <w:pPr>
              <w:rPr>
                <w:rStyle w:val="Hyperlink"/>
                <w:rFonts w:hint="cs"/>
                <w:rtl/>
              </w:rPr>
            </w:pPr>
            <w:hyperlink w:anchor="Seif24" w:tooltip="פירוק איגודי ערים"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5</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25 </w:t>
            </w:r>
          </w:p>
        </w:tc>
        <w:tc>
          <w:tcPr>
            <w:tcW w:w="5669" w:type="dxa"/>
          </w:tcPr>
          <w:p w:rsidR="00525E5F" w:rsidRPr="00525E5F" w:rsidRDefault="00525E5F" w:rsidP="00525E5F">
            <w:pPr>
              <w:rPr>
                <w:rFonts w:cs="Frankruhel" w:hint="cs"/>
                <w:rtl/>
              </w:rPr>
            </w:pPr>
            <w:r>
              <w:rPr>
                <w:rtl/>
              </w:rPr>
              <w:t>העברת נכסים, חובות והתחייבויות</w:t>
            </w:r>
          </w:p>
        </w:tc>
        <w:tc>
          <w:tcPr>
            <w:tcW w:w="567" w:type="dxa"/>
          </w:tcPr>
          <w:p w:rsidR="00525E5F" w:rsidRPr="00525E5F" w:rsidRDefault="00525E5F" w:rsidP="00525E5F">
            <w:pPr>
              <w:rPr>
                <w:rStyle w:val="Hyperlink"/>
                <w:rFonts w:hint="cs"/>
                <w:rtl/>
              </w:rPr>
            </w:pPr>
            <w:hyperlink w:anchor="Seif25" w:tooltip="העברת נכסים, חובות והתחייבויות"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26 </w:t>
            </w:r>
          </w:p>
        </w:tc>
        <w:tc>
          <w:tcPr>
            <w:tcW w:w="5669" w:type="dxa"/>
          </w:tcPr>
          <w:p w:rsidR="00525E5F" w:rsidRPr="00525E5F" w:rsidRDefault="00525E5F" w:rsidP="00525E5F">
            <w:pPr>
              <w:rPr>
                <w:rFonts w:cs="Frankruhel" w:hint="cs"/>
                <w:rtl/>
              </w:rPr>
            </w:pPr>
            <w:r>
              <w:rPr>
                <w:rtl/>
              </w:rPr>
              <w:t>תיקונים עקיפים</w:t>
            </w:r>
          </w:p>
        </w:tc>
        <w:tc>
          <w:tcPr>
            <w:tcW w:w="567" w:type="dxa"/>
          </w:tcPr>
          <w:p w:rsidR="00525E5F" w:rsidRPr="00525E5F" w:rsidRDefault="00525E5F" w:rsidP="00525E5F">
            <w:pPr>
              <w:rPr>
                <w:rStyle w:val="Hyperlink"/>
                <w:rFonts w:hint="cs"/>
                <w:rtl/>
              </w:rPr>
            </w:pPr>
            <w:hyperlink w:anchor="Seif26" w:tooltip="תיקונים עקיפים"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27 </w:t>
            </w:r>
          </w:p>
        </w:tc>
        <w:tc>
          <w:tcPr>
            <w:tcW w:w="5669" w:type="dxa"/>
          </w:tcPr>
          <w:p w:rsidR="00525E5F" w:rsidRPr="00525E5F" w:rsidRDefault="00525E5F" w:rsidP="00525E5F">
            <w:pPr>
              <w:rPr>
                <w:rFonts w:cs="Frankruhel" w:hint="cs"/>
                <w:rtl/>
              </w:rPr>
            </w:pPr>
            <w:r>
              <w:rPr>
                <w:rtl/>
              </w:rPr>
              <w:t>תחולת תחיקת משנה</w:t>
            </w:r>
          </w:p>
        </w:tc>
        <w:tc>
          <w:tcPr>
            <w:tcW w:w="567" w:type="dxa"/>
          </w:tcPr>
          <w:p w:rsidR="00525E5F" w:rsidRPr="00525E5F" w:rsidRDefault="00525E5F" w:rsidP="00525E5F">
            <w:pPr>
              <w:rPr>
                <w:rStyle w:val="Hyperlink"/>
                <w:rFonts w:hint="cs"/>
                <w:rtl/>
              </w:rPr>
            </w:pPr>
            <w:hyperlink w:anchor="Seif27" w:tooltip="תחולת תחיקת משנה"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28 </w:t>
            </w:r>
          </w:p>
        </w:tc>
        <w:tc>
          <w:tcPr>
            <w:tcW w:w="5669" w:type="dxa"/>
          </w:tcPr>
          <w:p w:rsidR="00525E5F" w:rsidRPr="00525E5F" w:rsidRDefault="00525E5F" w:rsidP="00525E5F">
            <w:pPr>
              <w:rPr>
                <w:rFonts w:cs="Frankruhel" w:hint="cs"/>
                <w:rtl/>
              </w:rPr>
            </w:pPr>
            <w:r>
              <w:rPr>
                <w:rtl/>
              </w:rPr>
              <w:t>סמכות בית המשפט לעניינים מקומיים של ערכאת הערעור</w:t>
            </w:r>
          </w:p>
        </w:tc>
        <w:tc>
          <w:tcPr>
            <w:tcW w:w="567" w:type="dxa"/>
          </w:tcPr>
          <w:p w:rsidR="00525E5F" w:rsidRPr="00525E5F" w:rsidRDefault="00525E5F" w:rsidP="00525E5F">
            <w:pPr>
              <w:rPr>
                <w:rStyle w:val="Hyperlink"/>
                <w:rFonts w:hint="cs"/>
                <w:rtl/>
              </w:rPr>
            </w:pPr>
            <w:hyperlink w:anchor="Seif28" w:tooltip="סמכות בית המשפט לעניינים מקומיים של ערכאת הערעור"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29 </w:t>
            </w:r>
          </w:p>
        </w:tc>
        <w:tc>
          <w:tcPr>
            <w:tcW w:w="5669" w:type="dxa"/>
          </w:tcPr>
          <w:p w:rsidR="00525E5F" w:rsidRPr="00525E5F" w:rsidRDefault="00525E5F" w:rsidP="00525E5F">
            <w:pPr>
              <w:rPr>
                <w:rFonts w:cs="Frankruhel" w:hint="cs"/>
                <w:rtl/>
              </w:rPr>
            </w:pPr>
            <w:r>
              <w:rPr>
                <w:rtl/>
              </w:rPr>
              <w:t>תחולת הצו</w:t>
            </w:r>
          </w:p>
        </w:tc>
        <w:tc>
          <w:tcPr>
            <w:tcW w:w="567" w:type="dxa"/>
          </w:tcPr>
          <w:p w:rsidR="00525E5F" w:rsidRPr="00525E5F" w:rsidRDefault="00525E5F" w:rsidP="00525E5F">
            <w:pPr>
              <w:rPr>
                <w:rStyle w:val="Hyperlink"/>
                <w:rFonts w:hint="cs"/>
                <w:rtl/>
              </w:rPr>
            </w:pPr>
            <w:hyperlink w:anchor="Seif29" w:tooltip="תחולת הצו"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30 </w:t>
            </w:r>
          </w:p>
        </w:tc>
        <w:tc>
          <w:tcPr>
            <w:tcW w:w="5669" w:type="dxa"/>
          </w:tcPr>
          <w:p w:rsidR="00525E5F" w:rsidRPr="00525E5F" w:rsidRDefault="00525E5F" w:rsidP="00525E5F">
            <w:pPr>
              <w:rPr>
                <w:rFonts w:cs="Frankruhel" w:hint="cs"/>
                <w:rtl/>
              </w:rPr>
            </w:pPr>
            <w:r>
              <w:rPr>
                <w:rtl/>
              </w:rPr>
              <w:t>תחילה ופרסום</w:t>
            </w:r>
          </w:p>
        </w:tc>
        <w:tc>
          <w:tcPr>
            <w:tcW w:w="567" w:type="dxa"/>
          </w:tcPr>
          <w:p w:rsidR="00525E5F" w:rsidRPr="00525E5F" w:rsidRDefault="00525E5F" w:rsidP="00525E5F">
            <w:pPr>
              <w:rPr>
                <w:rStyle w:val="Hyperlink"/>
                <w:rFonts w:hint="cs"/>
                <w:rtl/>
              </w:rPr>
            </w:pPr>
            <w:hyperlink w:anchor="Seif30" w:tooltip="תחילה ופרסום"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6</w:t>
            </w:r>
            <w:r>
              <w:rPr>
                <w:rFonts w:cs="Frankruhel"/>
                <w:rtl/>
              </w:rPr>
              <w:fldChar w:fldCharType="end"/>
            </w:r>
          </w:p>
        </w:tc>
      </w:tr>
      <w:tr w:rsidR="00525E5F" w:rsidRPr="00525E5F">
        <w:tblPrEx>
          <w:tblCellMar>
            <w:top w:w="0" w:type="dxa"/>
            <w:bottom w:w="0" w:type="dxa"/>
          </w:tblCellMar>
        </w:tblPrEx>
        <w:tc>
          <w:tcPr>
            <w:tcW w:w="1247" w:type="dxa"/>
          </w:tcPr>
          <w:p w:rsidR="00525E5F" w:rsidRPr="00525E5F" w:rsidRDefault="00525E5F" w:rsidP="00525E5F">
            <w:pPr>
              <w:rPr>
                <w:rFonts w:cs="Frankruhel" w:hint="cs"/>
                <w:rtl/>
              </w:rPr>
            </w:pPr>
            <w:r>
              <w:rPr>
                <w:rtl/>
              </w:rPr>
              <w:t xml:space="preserve">סעיף 31 </w:t>
            </w:r>
          </w:p>
        </w:tc>
        <w:tc>
          <w:tcPr>
            <w:tcW w:w="5669" w:type="dxa"/>
          </w:tcPr>
          <w:p w:rsidR="00525E5F" w:rsidRPr="00525E5F" w:rsidRDefault="00525E5F" w:rsidP="00525E5F">
            <w:pPr>
              <w:rPr>
                <w:rFonts w:cs="Frankruhel" w:hint="cs"/>
                <w:rtl/>
              </w:rPr>
            </w:pPr>
            <w:r>
              <w:rPr>
                <w:rtl/>
              </w:rPr>
              <w:t>השם</w:t>
            </w:r>
          </w:p>
        </w:tc>
        <w:tc>
          <w:tcPr>
            <w:tcW w:w="567" w:type="dxa"/>
          </w:tcPr>
          <w:p w:rsidR="00525E5F" w:rsidRPr="00525E5F" w:rsidRDefault="00525E5F" w:rsidP="00525E5F">
            <w:pPr>
              <w:rPr>
                <w:rStyle w:val="Hyperlink"/>
                <w:rFonts w:hint="cs"/>
                <w:rtl/>
              </w:rPr>
            </w:pPr>
            <w:hyperlink w:anchor="Seif31" w:tooltip="השם" w:history="1">
              <w:r w:rsidRPr="00525E5F">
                <w:rPr>
                  <w:rStyle w:val="Hyperlink"/>
                </w:rPr>
                <w:t>Go</w:t>
              </w:r>
            </w:hyperlink>
          </w:p>
        </w:tc>
        <w:tc>
          <w:tcPr>
            <w:tcW w:w="850" w:type="dxa"/>
          </w:tcPr>
          <w:p w:rsidR="00525E5F" w:rsidRPr="00525E5F" w:rsidRDefault="00525E5F" w:rsidP="00525E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6</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C76A7D">
      <w:pPr>
        <w:pStyle w:val="big-header"/>
        <w:ind w:left="0" w:right="1134"/>
        <w:rPr>
          <w:rStyle w:val="default"/>
          <w:rFonts w:hint="cs"/>
          <w:sz w:val="22"/>
          <w:szCs w:val="22"/>
          <w:rtl/>
        </w:rPr>
      </w:pPr>
      <w:r>
        <w:rPr>
          <w:rFonts w:cs="FrankRuehl" w:hint="cs"/>
          <w:sz w:val="32"/>
          <w:rtl/>
        </w:rPr>
        <w:t>צו בדבר הרשות לכבאות והצלה (יהודה והשומרון) (מס' 1742), תשע"ד-2014</w:t>
      </w:r>
      <w:r w:rsidR="006F4B89">
        <w:rPr>
          <w:rStyle w:val="default"/>
          <w:sz w:val="22"/>
          <w:szCs w:val="22"/>
          <w:rtl/>
        </w:rPr>
        <w:footnoteReference w:customMarkFollows="1" w:id="1"/>
        <w:t>*</w:t>
      </w:r>
    </w:p>
    <w:p w:rsidR="006F4B89" w:rsidRDefault="006F4B89" w:rsidP="00D77996">
      <w:pPr>
        <w:pStyle w:val="P00"/>
        <w:spacing w:before="72"/>
        <w:ind w:left="0" w:right="1134"/>
        <w:rPr>
          <w:rStyle w:val="default"/>
          <w:rFonts w:cs="FrankRuehl" w:hint="cs"/>
          <w:rtl/>
        </w:rPr>
      </w:pPr>
      <w:r>
        <w:rPr>
          <w:rStyle w:val="default"/>
          <w:rFonts w:cs="FrankRuehl" w:hint="cs"/>
          <w:rtl/>
        </w:rPr>
        <w:tab/>
      </w:r>
      <w:r w:rsidR="006F436B">
        <w:rPr>
          <w:rStyle w:val="default"/>
          <w:rFonts w:cs="FrankRuehl" w:hint="cs"/>
          <w:rtl/>
        </w:rPr>
        <w:t xml:space="preserve">בתוקף סמכותי </w:t>
      </w:r>
      <w:r w:rsidR="004163E5">
        <w:rPr>
          <w:rStyle w:val="default"/>
          <w:rFonts w:cs="FrankRuehl" w:hint="cs"/>
          <w:rtl/>
        </w:rPr>
        <w:t xml:space="preserve">כמפקד </w:t>
      </w:r>
      <w:r w:rsidR="00D77996">
        <w:rPr>
          <w:rStyle w:val="default"/>
          <w:rFonts w:cs="FrankRuehl" w:hint="cs"/>
          <w:rtl/>
        </w:rPr>
        <w:t>כוחות צה"ל ב</w:t>
      </w:r>
      <w:r w:rsidR="000639BA">
        <w:rPr>
          <w:rStyle w:val="default"/>
          <w:rFonts w:cs="FrankRuehl" w:hint="cs"/>
          <w:rtl/>
        </w:rPr>
        <w:t>אזור</w:t>
      </w:r>
      <w:r w:rsidR="009E170A">
        <w:rPr>
          <w:rStyle w:val="default"/>
          <w:rFonts w:cs="FrankRuehl" w:hint="cs"/>
          <w:rtl/>
        </w:rPr>
        <w:t>,</w:t>
      </w:r>
      <w:r w:rsidR="000639BA">
        <w:rPr>
          <w:rStyle w:val="default"/>
          <w:rFonts w:cs="FrankRuehl" w:hint="cs"/>
          <w:rtl/>
        </w:rPr>
        <w:t xml:space="preserve"> </w:t>
      </w:r>
      <w:r w:rsidR="006F436B">
        <w:rPr>
          <w:rStyle w:val="default"/>
          <w:rFonts w:cs="FrankRuehl" w:hint="cs"/>
          <w:rtl/>
        </w:rPr>
        <w:t xml:space="preserve">הנני </w:t>
      </w:r>
      <w:r w:rsidR="004163E5">
        <w:rPr>
          <w:rStyle w:val="default"/>
          <w:rFonts w:cs="FrankRuehl" w:hint="cs"/>
          <w:rtl/>
        </w:rPr>
        <w:t xml:space="preserve">מצווה </w:t>
      </w:r>
      <w:r w:rsidR="009E170A">
        <w:rPr>
          <w:rStyle w:val="default"/>
          <w:rFonts w:cs="FrankRuehl" w:hint="cs"/>
          <w:rtl/>
        </w:rPr>
        <w:t>בז</w:t>
      </w:r>
      <w:r w:rsidR="00D77996">
        <w:rPr>
          <w:rStyle w:val="default"/>
          <w:rFonts w:cs="FrankRuehl" w:hint="cs"/>
          <w:rtl/>
        </w:rPr>
        <w:t>את</w:t>
      </w:r>
      <w:r w:rsidR="009E170A">
        <w:rPr>
          <w:rStyle w:val="default"/>
          <w:rFonts w:cs="FrankRuehl" w:hint="cs"/>
          <w:rtl/>
        </w:rPr>
        <w:t xml:space="preserve"> </w:t>
      </w:r>
      <w:r w:rsidR="006F436B">
        <w:rPr>
          <w:rStyle w:val="default"/>
          <w:rFonts w:cs="FrankRuehl" w:hint="cs"/>
          <w:rtl/>
        </w:rPr>
        <w:t>לאמור:</w:t>
      </w:r>
    </w:p>
    <w:p w:rsidR="006F4B89" w:rsidRDefault="006F4B89" w:rsidP="00D77996">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14.3pt;z-index:251642368" o:allowincell="f" filled="f" stroked="f" strokecolor="lime" strokeweight=".25pt">
            <v:textbox style="mso-next-textbox:#_x0000_s1026" inset="0,0,0,0">
              <w:txbxContent>
                <w:p w:rsidR="00965525" w:rsidRDefault="00D77996" w:rsidP="00603B38">
                  <w:pPr>
                    <w:pStyle w:val="a7"/>
                    <w:rPr>
                      <w:rFonts w:hint="cs"/>
                      <w:noProof/>
                      <w:rtl/>
                    </w:rPr>
                  </w:pPr>
                  <w:r>
                    <w:rPr>
                      <w:rFonts w:hint="cs"/>
                      <w:noProof/>
                      <w:rtl/>
                    </w:rPr>
                    <w:t>מטרת הצו</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77996">
        <w:rPr>
          <w:rStyle w:val="default"/>
          <w:rFonts w:cs="FrankRuehl" w:hint="cs"/>
          <w:rtl/>
        </w:rPr>
        <w:t>צו זה מטרתו להסדיר את קיומם של שירותי כבאות והצלה באזור, לשם הצלת חיי אדם ורכוש, הגברת הבטיחות באש, כיבוי דליקות ומניעת דליקות</w:t>
      </w:r>
      <w:r w:rsidR="00A3778D">
        <w:rPr>
          <w:rStyle w:val="default"/>
          <w:rFonts w:cs="FrankRuehl" w:hint="cs"/>
          <w:rtl/>
        </w:rPr>
        <w:t>.</w:t>
      </w:r>
    </w:p>
    <w:p w:rsidR="006F4B89" w:rsidRDefault="006F4B89" w:rsidP="00D77996">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11.9pt;z-index:251643392" o:allowincell="f" filled="f" stroked="f" strokecolor="lime" strokeweight=".25pt">
            <v:textbox style="mso-next-textbox:#_x0000_s1214" inset="0,0,0,0">
              <w:txbxContent>
                <w:p w:rsidR="00965525" w:rsidRDefault="00D77996" w:rsidP="00623418">
                  <w:pPr>
                    <w:pStyle w:val="a7"/>
                    <w:rPr>
                      <w:rFonts w:hint="cs"/>
                      <w:noProof/>
                      <w:rtl/>
                    </w:rPr>
                  </w:pPr>
                  <w:r>
                    <w:rPr>
                      <w:rFonts w:hint="cs"/>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77996">
        <w:rPr>
          <w:rStyle w:val="default"/>
          <w:rFonts w:cs="FrankRuehl" w:hint="cs"/>
          <w:rtl/>
        </w:rPr>
        <w:t xml:space="preserve">בצו זה יהיו לכלל המושגים הפירושים שניתנו להם בחוק, זאת למעט המושגים המפורטים להלן להם יהיו הפירושים כמפורט להלן </w:t>
      </w:r>
      <w:r w:rsidR="00D77996">
        <w:rPr>
          <w:rStyle w:val="default"/>
          <w:rFonts w:cs="FrankRuehl"/>
          <w:rtl/>
        </w:rPr>
        <w:t>–</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"אסיפה" </w:t>
      </w:r>
      <w:r>
        <w:rPr>
          <w:rStyle w:val="default"/>
          <w:rFonts w:cs="FrankRuehl"/>
          <w:rtl/>
        </w:rPr>
        <w:t>–</w:t>
      </w:r>
      <w:r>
        <w:rPr>
          <w:rStyle w:val="default"/>
          <w:rFonts w:cs="FrankRuehl" w:hint="cs"/>
          <w:rtl/>
        </w:rPr>
        <w:t xml:space="preserve"> כהגדרתה בצו בדבר איסור פעולות הסתה ותעמולה עויינת (יהודה והשומרון) (מס' 101), תשכ"ז-1967;</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"בית המשפט לעניינים מקומיים של ערכאת ערעור" </w:t>
      </w:r>
      <w:r>
        <w:rPr>
          <w:rStyle w:val="default"/>
          <w:rFonts w:cs="FrankRuehl"/>
          <w:rtl/>
        </w:rPr>
        <w:t>–</w:t>
      </w:r>
      <w:r>
        <w:rPr>
          <w:rStyle w:val="default"/>
          <w:rFonts w:cs="FrankRuehl" w:hint="cs"/>
          <w:rtl/>
        </w:rPr>
        <w:t xml:space="preserve"> בית המשפט לעניינים מקומיים של ערכאת ערעור כהגדרתו בפרק ט"ז לתקנון המועצות המקומיות;</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"בעל ציוד" </w:t>
      </w:r>
      <w:r>
        <w:rPr>
          <w:rStyle w:val="default"/>
          <w:rFonts w:cs="FrankRuehl"/>
          <w:rtl/>
        </w:rPr>
        <w:t>–</w:t>
      </w:r>
      <w:r>
        <w:rPr>
          <w:rStyle w:val="default"/>
          <w:rFonts w:cs="FrankRuehl" w:hint="cs"/>
          <w:rtl/>
        </w:rPr>
        <w:t xml:space="preserve"> לגבי ציוד הרשום לפי דין או תחיקת הביטחון </w:t>
      </w:r>
      <w:r>
        <w:rPr>
          <w:rStyle w:val="default"/>
          <w:rFonts w:cs="FrankRuehl"/>
          <w:rtl/>
        </w:rPr>
        <w:t>–</w:t>
      </w:r>
      <w:r>
        <w:rPr>
          <w:rStyle w:val="default"/>
          <w:rFonts w:cs="FrankRuehl" w:hint="cs"/>
          <w:rtl/>
        </w:rPr>
        <w:t xml:space="preserve"> הבעל הרשום, ולגבי ציוד אחר </w:t>
      </w:r>
      <w:r>
        <w:rPr>
          <w:rStyle w:val="default"/>
          <w:rFonts w:cs="FrankRuehl"/>
          <w:rtl/>
        </w:rPr>
        <w:t>–</w:t>
      </w:r>
      <w:r>
        <w:rPr>
          <w:rStyle w:val="default"/>
          <w:rFonts w:cs="FrankRuehl" w:hint="cs"/>
          <w:rtl/>
        </w:rPr>
        <w:t xml:space="preserve"> מי שהוכיח בדרך הקבועה בדין, כי הוא בעל הציוד;</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""בעל נכס", לעניין מקרקעין" </w:t>
      </w:r>
      <w:r>
        <w:rPr>
          <w:rStyle w:val="default"/>
          <w:rFonts w:cs="FrankRuehl"/>
          <w:rtl/>
        </w:rPr>
        <w:t>–</w:t>
      </w:r>
      <w:r>
        <w:rPr>
          <w:rStyle w:val="default"/>
          <w:rFonts w:cs="FrankRuehl" w:hint="cs"/>
          <w:rtl/>
        </w:rPr>
        <w:t xml:space="preserve"> המחזיק כדין במקרקעין;</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הרשות הארצית לכבאות והצלה, התשע"ב-2012, כפי תוקפו בישראל מעת לעת;</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 כפי תוקפו בישראל מעת לעת;</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"יום כינון הרשות" </w:t>
      </w:r>
      <w:r>
        <w:rPr>
          <w:rStyle w:val="default"/>
          <w:rFonts w:cs="FrankRuehl"/>
          <w:rtl/>
        </w:rPr>
        <w:t>–</w:t>
      </w:r>
      <w:r>
        <w:rPr>
          <w:rStyle w:val="default"/>
          <w:rFonts w:cs="FrankRuehl" w:hint="cs"/>
          <w:rtl/>
        </w:rPr>
        <w:t xml:space="preserve"> כפי הגדרתו בחוק;</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"מועצה אזורית" </w:t>
      </w:r>
      <w:r>
        <w:rPr>
          <w:rStyle w:val="default"/>
          <w:rFonts w:cs="FrankRuehl"/>
          <w:rtl/>
        </w:rPr>
        <w:t>–</w:t>
      </w:r>
      <w:r>
        <w:rPr>
          <w:rStyle w:val="default"/>
          <w:rFonts w:cs="FrankRuehl" w:hint="cs"/>
          <w:rtl/>
        </w:rPr>
        <w:t xml:space="preserve"> כהגדרתה בצו בדבר ניהול מועצות אזוריות (יהודה והשומרון) (מס' 783), התשל"ט-1979;</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"מועצה מקומית" </w:t>
      </w:r>
      <w:r>
        <w:rPr>
          <w:rStyle w:val="default"/>
          <w:rFonts w:cs="FrankRuehl"/>
          <w:rtl/>
        </w:rPr>
        <w:t>–</w:t>
      </w:r>
      <w:r>
        <w:rPr>
          <w:rStyle w:val="default"/>
          <w:rFonts w:cs="FrankRuehl" w:hint="cs"/>
          <w:rtl/>
        </w:rPr>
        <w:t xml:space="preserve"> כהגדרתה בצו בדבר ניהול מועצות מקומיות (יהודה והשומרון) (מס' 892), התשמ"א-1981;</w:t>
      </w:r>
    </w:p>
    <w:p w:rsidR="00D77996" w:rsidRDefault="00D77996" w:rsidP="00D77996">
      <w:pPr>
        <w:pStyle w:val="P00"/>
        <w:spacing w:before="72"/>
        <w:ind w:left="0" w:right="1134"/>
        <w:rPr>
          <w:rStyle w:val="default"/>
          <w:rFonts w:cs="FrankRuehl" w:hint="cs"/>
          <w:rtl/>
        </w:rPr>
      </w:pPr>
      <w:r>
        <w:rPr>
          <w:rStyle w:val="default"/>
          <w:rFonts w:cs="FrankRuehl" w:hint="cs"/>
          <w:rtl/>
        </w:rPr>
        <w:tab/>
        <w:t xml:space="preserve">"מפקד מחוז" </w:t>
      </w:r>
      <w:r w:rsidR="001A4925">
        <w:rPr>
          <w:rStyle w:val="default"/>
          <w:rFonts w:cs="FrankRuehl"/>
          <w:rtl/>
        </w:rPr>
        <w:t>–</w:t>
      </w:r>
      <w:r>
        <w:rPr>
          <w:rStyle w:val="default"/>
          <w:rFonts w:cs="FrankRuehl" w:hint="cs"/>
          <w:rtl/>
        </w:rPr>
        <w:t xml:space="preserve"> </w:t>
      </w:r>
      <w:r w:rsidR="001A4925">
        <w:rPr>
          <w:rStyle w:val="default"/>
          <w:rFonts w:cs="FrankRuehl" w:hint="cs"/>
          <w:rtl/>
        </w:rPr>
        <w:t>מי שמונה להיות מפקד מחוז באזור, כולו או מקצתו, ברשות הכבאות וההצלה או למלא את תפקידיו של מפקד מחוז, כולו או מקצתו, ברשות הכבאות וההצלה;</w:t>
      </w:r>
    </w:p>
    <w:p w:rsidR="001A4925" w:rsidRDefault="001A4925" w:rsidP="00D77996">
      <w:pPr>
        <w:pStyle w:val="P00"/>
        <w:spacing w:before="72"/>
        <w:ind w:left="0" w:right="1134"/>
        <w:rPr>
          <w:rStyle w:val="default"/>
          <w:rFonts w:cs="FrankRuehl" w:hint="cs"/>
          <w:rtl/>
        </w:rPr>
      </w:pPr>
      <w:r>
        <w:rPr>
          <w:rStyle w:val="default"/>
          <w:rFonts w:cs="FrankRuehl" w:hint="cs"/>
          <w:rtl/>
        </w:rPr>
        <w:tab/>
        <w:t xml:space="preserve">"מתקן" </w:t>
      </w:r>
      <w:r>
        <w:rPr>
          <w:rStyle w:val="default"/>
          <w:rFonts w:cs="FrankRuehl"/>
          <w:rtl/>
        </w:rPr>
        <w:t>–</w:t>
      </w:r>
      <w:r>
        <w:rPr>
          <w:rStyle w:val="default"/>
          <w:rFonts w:cs="FrankRuehl" w:hint="cs"/>
          <w:rtl/>
        </w:rPr>
        <w:t xml:space="preserve"> מפעל או מוסד המוחזק על ידי מי שאינו תושב האזור, למעט מפקד כוחות צה"ל באזור או רשות הפועלת מטעם מפקד כוחות צה"ל באזור, שאינה רשות מקומית; לענין זה, "תושב האזור" </w:t>
      </w:r>
      <w:r>
        <w:rPr>
          <w:rStyle w:val="default"/>
          <w:rFonts w:cs="FrankRuehl"/>
          <w:rtl/>
        </w:rPr>
        <w:t>–</w:t>
      </w:r>
      <w:r>
        <w:rPr>
          <w:rStyle w:val="default"/>
          <w:rFonts w:cs="FrankRuehl" w:hint="cs"/>
          <w:rtl/>
        </w:rPr>
        <w:t xml:space="preserve"> תושב כהגדרתו בצו בדבר תעודת זהות ומרשם אוכלוסין (יהודה והשומרון) (מס' 297), התשכ"ט-1969, וכן תאגיד שהוקם בדין או בתחיקת בטחון או מכוחם שהשליטה והניהול על עסקיו הם על ידי תושב האזור;</w:t>
      </w:r>
    </w:p>
    <w:p w:rsidR="001A4925" w:rsidRDefault="001A4925" w:rsidP="00D77996">
      <w:pPr>
        <w:pStyle w:val="P00"/>
        <w:spacing w:before="72"/>
        <w:ind w:left="0" w:right="1134"/>
        <w:rPr>
          <w:rStyle w:val="default"/>
          <w:rFonts w:cs="FrankRuehl" w:hint="cs"/>
          <w:rtl/>
        </w:rPr>
      </w:pPr>
      <w:r>
        <w:rPr>
          <w:rStyle w:val="default"/>
          <w:rFonts w:cs="FrankRuehl" w:hint="cs"/>
          <w:rtl/>
        </w:rPr>
        <w:tab/>
        <w:t xml:space="preserve">"צו הג"א" </w:t>
      </w:r>
      <w:r>
        <w:rPr>
          <w:rStyle w:val="default"/>
          <w:rFonts w:cs="FrankRuehl"/>
          <w:rtl/>
        </w:rPr>
        <w:t>–</w:t>
      </w:r>
      <w:r>
        <w:rPr>
          <w:rStyle w:val="default"/>
          <w:rFonts w:cs="FrankRuehl" w:hint="cs"/>
          <w:rtl/>
        </w:rPr>
        <w:t xml:space="preserve"> צו בדבר ההתגוננות האזרחית (יהודה והשומרון) (מס' 1699), התשע"ב-2012;</w:t>
      </w:r>
    </w:p>
    <w:p w:rsidR="001A4925" w:rsidRDefault="001A4925" w:rsidP="00D77996">
      <w:pPr>
        <w:pStyle w:val="P00"/>
        <w:spacing w:before="72"/>
        <w:ind w:left="0" w:right="1134"/>
        <w:rPr>
          <w:rStyle w:val="default"/>
          <w:rFonts w:cs="FrankRuehl" w:hint="cs"/>
          <w:rtl/>
        </w:rPr>
      </w:pPr>
      <w:r>
        <w:rPr>
          <w:rStyle w:val="default"/>
          <w:rFonts w:cs="FrankRuehl" w:hint="cs"/>
          <w:rtl/>
        </w:rPr>
        <w:tab/>
        <w:t xml:space="preserve">"רשות הכבאות" </w:t>
      </w:r>
      <w:r>
        <w:rPr>
          <w:rStyle w:val="default"/>
          <w:rFonts w:cs="FrankRuehl"/>
          <w:rtl/>
        </w:rPr>
        <w:t>–</w:t>
      </w:r>
      <w:r>
        <w:rPr>
          <w:rStyle w:val="default"/>
          <w:rFonts w:cs="FrankRuehl" w:hint="cs"/>
          <w:rtl/>
        </w:rPr>
        <w:t xml:space="preserve"> הרשות הארצית לכבאות והצלה, אשר הוקמה מכוח החוק;</w:t>
      </w:r>
    </w:p>
    <w:p w:rsidR="001A4925" w:rsidRDefault="001A4925" w:rsidP="00D77996">
      <w:pPr>
        <w:pStyle w:val="P00"/>
        <w:spacing w:before="72"/>
        <w:ind w:left="0" w:right="1134"/>
        <w:rPr>
          <w:rStyle w:val="default"/>
          <w:rFonts w:cs="FrankRuehl" w:hint="cs"/>
          <w:rtl/>
        </w:rPr>
      </w:pPr>
      <w:r>
        <w:rPr>
          <w:rStyle w:val="default"/>
          <w:rFonts w:cs="FrankRuehl" w:hint="cs"/>
          <w:rtl/>
        </w:rPr>
        <w:tab/>
        <w:t xml:space="preserve">"תהלוכה" </w:t>
      </w:r>
      <w:r>
        <w:rPr>
          <w:rStyle w:val="default"/>
          <w:rFonts w:cs="FrankRuehl"/>
          <w:rtl/>
        </w:rPr>
        <w:t>–</w:t>
      </w:r>
      <w:r>
        <w:rPr>
          <w:rStyle w:val="default"/>
          <w:rFonts w:cs="FrankRuehl" w:hint="cs"/>
          <w:rtl/>
        </w:rPr>
        <w:t xml:space="preserve"> כהגדרתה בצו בדבר איסור פעולות הסתה ותעמולה עויינת (יהודה והשומרון) (מס' 101), תשכ"ז-1967;</w:t>
      </w:r>
    </w:p>
    <w:p w:rsidR="001A4925" w:rsidRDefault="001A4925" w:rsidP="00D77996">
      <w:pPr>
        <w:pStyle w:val="P00"/>
        <w:spacing w:before="72"/>
        <w:ind w:left="0" w:right="1134"/>
        <w:rPr>
          <w:rStyle w:val="default"/>
          <w:rFonts w:cs="FrankRuehl" w:hint="cs"/>
          <w:rtl/>
        </w:rPr>
      </w:pPr>
      <w:r>
        <w:rPr>
          <w:rStyle w:val="default"/>
          <w:rFonts w:cs="FrankRuehl" w:hint="cs"/>
          <w:rtl/>
        </w:rPr>
        <w:tab/>
        <w:t xml:space="preserve">"תקנון המועצות האזוריות" </w:t>
      </w:r>
      <w:r>
        <w:rPr>
          <w:rStyle w:val="default"/>
          <w:rFonts w:cs="FrankRuehl"/>
          <w:rtl/>
        </w:rPr>
        <w:t>–</w:t>
      </w:r>
      <w:r>
        <w:rPr>
          <w:rStyle w:val="default"/>
          <w:rFonts w:cs="FrankRuehl" w:hint="cs"/>
          <w:rtl/>
        </w:rPr>
        <w:t xml:space="preserve"> תקנון המועצות האזוריות (יהודה והשומרון), התשל"ט-1979;</w:t>
      </w:r>
    </w:p>
    <w:p w:rsidR="001A4925" w:rsidRDefault="001A4925" w:rsidP="00D77996">
      <w:pPr>
        <w:pStyle w:val="P00"/>
        <w:spacing w:before="72"/>
        <w:ind w:left="0" w:right="1134"/>
        <w:rPr>
          <w:rStyle w:val="default"/>
          <w:rFonts w:cs="FrankRuehl" w:hint="cs"/>
          <w:rtl/>
        </w:rPr>
      </w:pPr>
      <w:r>
        <w:rPr>
          <w:rStyle w:val="default"/>
          <w:rFonts w:cs="FrankRuehl" w:hint="cs"/>
          <w:rtl/>
        </w:rPr>
        <w:tab/>
        <w:t xml:space="preserve">"תקנון המועצות המקומיות" </w:t>
      </w:r>
      <w:r>
        <w:rPr>
          <w:rStyle w:val="default"/>
          <w:rFonts w:cs="FrankRuehl"/>
          <w:rtl/>
        </w:rPr>
        <w:t>–</w:t>
      </w:r>
      <w:r>
        <w:rPr>
          <w:rStyle w:val="default"/>
          <w:rFonts w:cs="FrankRuehl" w:hint="cs"/>
          <w:rtl/>
        </w:rPr>
        <w:t xml:space="preserve"> תקנון המועצות המקומיות (יהודה והשומרון), התשמ"א-1981.</w:t>
      </w:r>
    </w:p>
    <w:p w:rsidR="005D1A70" w:rsidRDefault="005D1A70" w:rsidP="001A4925">
      <w:pPr>
        <w:pStyle w:val="P00"/>
        <w:spacing w:before="72"/>
        <w:ind w:left="0" w:right="1134"/>
        <w:rPr>
          <w:rStyle w:val="default"/>
          <w:rFonts w:cs="FrankRuehl" w:hint="cs"/>
          <w:rtl/>
        </w:rPr>
      </w:pPr>
      <w:bookmarkStart w:id="2" w:name="Seif6"/>
      <w:bookmarkEnd w:id="2"/>
      <w:r>
        <w:rPr>
          <w:rFonts w:cs="Miriam"/>
          <w:lang w:val="he-IL"/>
        </w:rPr>
        <w:pict>
          <v:rect id="_x0000_s1773" style="position:absolute;left:0;text-align:left;margin-left:468pt;margin-top:7.1pt;width:71.4pt;height:9.85pt;z-index:251647488" o:allowincell="f" filled="f" stroked="f" strokecolor="lime" strokeweight=".25pt">
            <v:textbox style="mso-next-textbox:#_x0000_s1773" inset="0,0,0,0">
              <w:txbxContent>
                <w:p w:rsidR="00965525" w:rsidRDefault="001A4925" w:rsidP="005D1A70">
                  <w:pPr>
                    <w:pStyle w:val="a7"/>
                    <w:rPr>
                      <w:rFonts w:hint="cs"/>
                      <w:noProof/>
                      <w:rtl/>
                    </w:rPr>
                  </w:pPr>
                  <w:r>
                    <w:rPr>
                      <w:rFonts w:hint="cs"/>
                      <w:noProof/>
                      <w:rtl/>
                    </w:rPr>
                    <w:t>שירותי כבאות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1A4925">
        <w:rPr>
          <w:rStyle w:val="default"/>
          <w:rFonts w:cs="FrankRuehl" w:hint="cs"/>
          <w:rtl/>
        </w:rPr>
        <w:t xml:space="preserve">לרשות הכבאות, לעובדיה ולגורמים המוסמכים לפעול מכוח החוק, יהיו נתונים באזור כלל הסמכויות, החובות והתפקידים מכוח החוק, בשינויים המחויבים, ובהתאם לשינויים המנויים בצו </w:t>
      </w:r>
      <w:r w:rsidR="001A4925">
        <w:rPr>
          <w:rStyle w:val="default"/>
          <w:rFonts w:cs="FrankRuehl" w:hint="cs"/>
          <w:rtl/>
        </w:rPr>
        <w:lastRenderedPageBreak/>
        <w:t>זה.</w:t>
      </w:r>
    </w:p>
    <w:p w:rsidR="005D1A70" w:rsidRDefault="005D1A70" w:rsidP="001A4925">
      <w:pPr>
        <w:pStyle w:val="P00"/>
        <w:spacing w:before="72"/>
        <w:ind w:left="0" w:right="1134"/>
        <w:rPr>
          <w:rStyle w:val="default"/>
          <w:rFonts w:cs="FrankRuehl" w:hint="cs"/>
          <w:rtl/>
        </w:rPr>
      </w:pPr>
      <w:bookmarkStart w:id="3" w:name="Seif9"/>
      <w:bookmarkEnd w:id="3"/>
      <w:r>
        <w:rPr>
          <w:rFonts w:cs="Miriam"/>
          <w:lang w:val="he-IL"/>
        </w:rPr>
        <w:pict>
          <v:rect id="_x0000_s1776" style="position:absolute;left:0;text-align:left;margin-left:468pt;margin-top:7.1pt;width:71.4pt;height:9.85pt;z-index:251650560" o:allowincell="f" filled="f" stroked="f" strokecolor="lime" strokeweight=".25pt">
            <v:textbox style="mso-next-textbox:#_x0000_s1776" inset="0,0,0,0">
              <w:txbxContent>
                <w:p w:rsidR="00965525" w:rsidRDefault="001A4925" w:rsidP="005D1A70">
                  <w:pPr>
                    <w:pStyle w:val="a7"/>
                    <w:rPr>
                      <w:rFonts w:hint="cs"/>
                      <w:noProof/>
                      <w:rtl/>
                    </w:rPr>
                  </w:pPr>
                  <w:r>
                    <w:rPr>
                      <w:rFonts w:hint="cs"/>
                      <w:noProof/>
                      <w:rtl/>
                    </w:rPr>
                    <w:t>הכבאי בתפקיד</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1A4925">
        <w:rPr>
          <w:rStyle w:val="default"/>
          <w:rFonts w:cs="FrankRuehl" w:hint="cs"/>
          <w:rtl/>
        </w:rPr>
        <w:t>על אף האמור בכל דין ובנוסף לאמור בסעיף 14 לחוק, רואים כבאי הנמצא באזור, לכל עניין לפי חוק זה, כנמצא זמין לתפקיד, ומותר בכל עת להורות על התייצבותו ומילוי תפקידו בכל מקום בהתאם להוראות הנציב</w:t>
      </w:r>
      <w:r>
        <w:rPr>
          <w:rStyle w:val="default"/>
          <w:rFonts w:cs="FrankRuehl" w:hint="cs"/>
          <w:rtl/>
        </w:rPr>
        <w:t>.</w:t>
      </w:r>
    </w:p>
    <w:p w:rsidR="006D2C71" w:rsidRDefault="006D2C71" w:rsidP="001A4925">
      <w:pPr>
        <w:pStyle w:val="P00"/>
        <w:spacing w:before="72"/>
        <w:ind w:left="0" w:right="1134"/>
        <w:rPr>
          <w:rStyle w:val="default"/>
          <w:rFonts w:cs="FrankRuehl" w:hint="cs"/>
          <w:rtl/>
        </w:rPr>
      </w:pPr>
      <w:bookmarkStart w:id="4" w:name="Seif5"/>
      <w:bookmarkEnd w:id="4"/>
      <w:r>
        <w:rPr>
          <w:rFonts w:cs="Miriam"/>
          <w:lang w:val="he-IL"/>
        </w:rPr>
        <w:pict>
          <v:rect id="_x0000_s1755" style="position:absolute;left:0;text-align:left;margin-left:468pt;margin-top:7.1pt;width:71.4pt;height:12.95pt;z-index:251646464" o:allowincell="f" filled="f" stroked="f" strokecolor="lime" strokeweight=".25pt">
            <v:textbox style="mso-next-textbox:#_x0000_s1755" inset="0,0,0,0">
              <w:txbxContent>
                <w:p w:rsidR="00965525" w:rsidRDefault="001A4925" w:rsidP="006D2C71">
                  <w:pPr>
                    <w:pStyle w:val="a7"/>
                    <w:rPr>
                      <w:rFonts w:hint="cs"/>
                      <w:noProof/>
                      <w:rtl/>
                    </w:rPr>
                  </w:pPr>
                  <w:r>
                    <w:rPr>
                      <w:rFonts w:hint="cs"/>
                      <w:noProof/>
                      <w:rtl/>
                    </w:rPr>
                    <w:t>סמכויות כבאי</w:t>
                  </w:r>
                </w:p>
              </w:txbxContent>
            </v:textbox>
            <w10:anchorlock/>
          </v:rect>
        </w:pict>
      </w:r>
      <w:r w:rsidR="005D1A70">
        <w:rPr>
          <w:rStyle w:val="big-number"/>
          <w:rFonts w:cs="Miriam" w:hint="cs"/>
          <w:rtl/>
        </w:rPr>
        <w:t>5</w:t>
      </w:r>
      <w:r>
        <w:rPr>
          <w:rStyle w:val="big-number"/>
          <w:rFonts w:cs="FrankRuehl"/>
          <w:sz w:val="26"/>
          <w:szCs w:val="26"/>
          <w:rtl/>
        </w:rPr>
        <w:t>.</w:t>
      </w:r>
      <w:r>
        <w:rPr>
          <w:rStyle w:val="big-number"/>
          <w:rFonts w:cs="FrankRuehl"/>
          <w:sz w:val="26"/>
          <w:szCs w:val="26"/>
          <w:rtl/>
        </w:rPr>
        <w:tab/>
      </w:r>
      <w:r w:rsidR="001A4925">
        <w:rPr>
          <w:rStyle w:val="default"/>
          <w:rFonts w:cs="FrankRuehl" w:hint="cs"/>
          <w:rtl/>
        </w:rPr>
        <w:t>לעניין הפעלת סמכויות קצין כבאות וההצלה מכוח סעיף 22(1) לחוק, יראו גם את החייל כשוטר</w:t>
      </w:r>
      <w:r>
        <w:rPr>
          <w:rStyle w:val="default"/>
          <w:rFonts w:cs="FrankRuehl" w:hint="cs"/>
          <w:rtl/>
        </w:rPr>
        <w:t>.</w:t>
      </w:r>
    </w:p>
    <w:p w:rsidR="006F4B89" w:rsidRDefault="006F4B89" w:rsidP="001A4925">
      <w:pPr>
        <w:pStyle w:val="P00"/>
        <w:spacing w:before="72"/>
        <w:ind w:left="0" w:right="1134"/>
        <w:rPr>
          <w:rStyle w:val="default"/>
          <w:rFonts w:cs="FrankRuehl" w:hint="cs"/>
          <w:rtl/>
        </w:rPr>
      </w:pPr>
      <w:bookmarkStart w:id="5" w:name="Seif3"/>
      <w:bookmarkEnd w:id="5"/>
      <w:r>
        <w:rPr>
          <w:rFonts w:cs="Miriam"/>
          <w:lang w:val="he-IL"/>
        </w:rPr>
        <w:pict>
          <v:rect id="_x0000_s1239" style="position:absolute;left:0;text-align:left;margin-left:464.35pt;margin-top:7.1pt;width:75.05pt;height:20.45pt;z-index:251644416" o:allowincell="f" filled="f" stroked="f" strokecolor="lime" strokeweight=".25pt">
            <v:textbox style="mso-next-textbox:#_x0000_s1239" inset="0,0,0,0">
              <w:txbxContent>
                <w:p w:rsidR="00965525" w:rsidRDefault="001A4925" w:rsidP="00E57FE7">
                  <w:pPr>
                    <w:pStyle w:val="a7"/>
                    <w:rPr>
                      <w:rFonts w:hint="cs"/>
                      <w:noProof/>
                      <w:rtl/>
                    </w:rPr>
                  </w:pPr>
                  <w:r>
                    <w:rPr>
                      <w:rFonts w:hint="cs"/>
                      <w:rtl/>
                    </w:rPr>
                    <w:t>טיפול בחומרים מסוכנים</w:t>
                  </w:r>
                </w:p>
              </w:txbxContent>
            </v:textbox>
            <w10:anchorlock/>
          </v:rect>
        </w:pict>
      </w:r>
      <w:r w:rsidR="005D1A70">
        <w:rPr>
          <w:rStyle w:val="big-number"/>
          <w:rFonts w:cs="Miriam" w:hint="cs"/>
          <w:rtl/>
        </w:rPr>
        <w:t>6</w:t>
      </w:r>
      <w:r>
        <w:rPr>
          <w:rStyle w:val="default"/>
          <w:rFonts w:cs="FrankRuehl"/>
          <w:rtl/>
        </w:rPr>
        <w:t>.</w:t>
      </w:r>
      <w:r>
        <w:rPr>
          <w:rStyle w:val="default"/>
          <w:rFonts w:cs="FrankRuehl"/>
          <w:rtl/>
        </w:rPr>
        <w:tab/>
      </w:r>
      <w:r w:rsidR="001A4925">
        <w:rPr>
          <w:rStyle w:val="default"/>
          <w:rFonts w:cs="FrankRuehl" w:hint="cs"/>
          <w:rtl/>
        </w:rPr>
        <w:t>(א)</w:t>
      </w:r>
      <w:r w:rsidR="001A4925">
        <w:rPr>
          <w:rStyle w:val="default"/>
          <w:rFonts w:cs="FrankRuehl" w:hint="cs"/>
          <w:rtl/>
        </w:rPr>
        <w:tab/>
        <w:t>סמכויות מכוח סימן ב' של פרק ד' לחוק תופעלנה בתחום המועצה המקומית ובתחום המועצה האזורית בלבד</w:t>
      </w:r>
      <w:r w:rsidR="004F498A">
        <w:rPr>
          <w:rStyle w:val="default"/>
          <w:rFonts w:cs="FrankRuehl" w:hint="cs"/>
          <w:rtl/>
        </w:rPr>
        <w:t>.</w:t>
      </w:r>
    </w:p>
    <w:p w:rsidR="001A4925" w:rsidRDefault="001A4925" w:rsidP="001A49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יהיה מוסמך קצין הכבאות להפעיל את הסמכויות שניתנו לו מכוח סימן ב' של פרק ד' לחוק בכל האזור; וזאת אם השתכנע כי מתקיים אחד מאלה:</w:t>
      </w:r>
    </w:p>
    <w:p w:rsidR="001A4925" w:rsidRDefault="001A4925" w:rsidP="00324D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קיים חשש סביר, כי אירוע חומרים מסוכנים, </w:t>
      </w:r>
      <w:r w:rsidR="00324DF8">
        <w:rPr>
          <w:rStyle w:val="default"/>
          <w:rFonts w:cs="FrankRuehl" w:hint="cs"/>
          <w:rtl/>
        </w:rPr>
        <w:t>כהגדרתו בצו הג"א, המתרחש מחוץ לתחומי המועצה המקומית או המועצה האזורית, עשוי להתפשט לתחום מועצה מקומית או מועצה אזורית;</w:t>
      </w:r>
    </w:p>
    <w:p w:rsidR="00324DF8" w:rsidRDefault="00324DF8" w:rsidP="00324D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קיים חשש סביר, כי אירוע חומרים מסוכנים עלול לגרום לפגיעה בנפש או ברכוש;</w:t>
      </w:r>
    </w:p>
    <w:p w:rsidR="00324DF8" w:rsidRDefault="00324DF8" w:rsidP="00324DF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מעורבותם של רשות הכבאות ועובדיה נדרשת באופן דחוף כדי להפסיק את אירוע החומרים המסוכנים.</w:t>
      </w:r>
    </w:p>
    <w:p w:rsidR="005D1A70" w:rsidRDefault="005D1A70" w:rsidP="00324DF8">
      <w:pPr>
        <w:pStyle w:val="P00"/>
        <w:spacing w:before="72"/>
        <w:ind w:left="0" w:right="1134"/>
        <w:rPr>
          <w:rStyle w:val="default"/>
          <w:rFonts w:cs="FrankRuehl" w:hint="cs"/>
          <w:rtl/>
        </w:rPr>
      </w:pPr>
      <w:bookmarkStart w:id="6" w:name="Seif7"/>
      <w:bookmarkEnd w:id="6"/>
      <w:r>
        <w:rPr>
          <w:rFonts w:cs="Miriam"/>
          <w:lang w:val="he-IL"/>
        </w:rPr>
        <w:pict>
          <v:rect id="_x0000_s1774" style="position:absolute;left:0;text-align:left;margin-left:464.35pt;margin-top:7.1pt;width:75.05pt;height:12.55pt;z-index:251648512" o:allowincell="f" filled="f" stroked="f" strokecolor="lime" strokeweight=".25pt">
            <v:textbox style="mso-next-textbox:#_x0000_s1774" inset="0,0,0,0">
              <w:txbxContent>
                <w:p w:rsidR="00965525" w:rsidRDefault="00324DF8" w:rsidP="005D1A70">
                  <w:pPr>
                    <w:pStyle w:val="a7"/>
                    <w:rPr>
                      <w:rFonts w:hint="cs"/>
                      <w:noProof/>
                      <w:rtl/>
                    </w:rPr>
                  </w:pPr>
                  <w:r>
                    <w:rPr>
                      <w:rFonts w:hint="cs"/>
                      <w:rtl/>
                    </w:rPr>
                    <w:t>יער וחורש</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324DF8">
        <w:rPr>
          <w:rStyle w:val="default"/>
          <w:rFonts w:cs="FrankRuehl" w:hint="cs"/>
          <w:rtl/>
        </w:rPr>
        <w:t>על אף האמור בסעיף 3 לצו זה, סמכויות וחובות מכוח החוק הנתונות לגורמים האחראיים על יער וחורש בישראל יהיו נתונות לקצין מטה לענייני שמורות הטבע במנהל האזרחי, קצין מטה לענייני חקלאות במנהל האזרחי וקצין מטה לענייני איכות הסביבה במנהל האזרחי, לפני העניין. אין באמור כדי לגרוע מן הסמכויות שניתנו לנציב ולמפקד המחוז בסעיף 9 לצו זה</w:t>
      </w:r>
      <w:r w:rsidR="00A3778D">
        <w:rPr>
          <w:rStyle w:val="default"/>
          <w:rFonts w:cs="FrankRuehl" w:hint="cs"/>
          <w:rtl/>
        </w:rPr>
        <w:t>.</w:t>
      </w:r>
    </w:p>
    <w:p w:rsidR="005D1A70" w:rsidRDefault="005D1A70" w:rsidP="00324DF8">
      <w:pPr>
        <w:pStyle w:val="P00"/>
        <w:spacing w:before="72"/>
        <w:ind w:left="0" w:right="1134"/>
        <w:rPr>
          <w:rStyle w:val="default"/>
          <w:rFonts w:cs="FrankRuehl" w:hint="cs"/>
          <w:rtl/>
        </w:rPr>
      </w:pPr>
      <w:bookmarkStart w:id="7" w:name="Seif8"/>
      <w:bookmarkEnd w:id="7"/>
      <w:r>
        <w:rPr>
          <w:rFonts w:cs="Miriam"/>
          <w:lang w:val="he-IL"/>
        </w:rPr>
        <w:pict>
          <v:rect id="_x0000_s1775" style="position:absolute;left:0;text-align:left;margin-left:464.35pt;margin-top:7.1pt;width:75.05pt;height:22.2pt;z-index:251649536" o:allowincell="f" filled="f" stroked="f" strokecolor="lime" strokeweight=".25pt">
            <v:textbox style="mso-next-textbox:#_x0000_s1775" inset="0,0,0,0">
              <w:txbxContent>
                <w:p w:rsidR="00965525" w:rsidRDefault="00324DF8" w:rsidP="005D1A70">
                  <w:pPr>
                    <w:pStyle w:val="a7"/>
                    <w:rPr>
                      <w:rFonts w:hint="cs"/>
                      <w:noProof/>
                      <w:rtl/>
                    </w:rPr>
                  </w:pPr>
                  <w:r>
                    <w:rPr>
                      <w:rFonts w:hint="cs"/>
                      <w:rtl/>
                    </w:rPr>
                    <w:t>צוותי כיבוי בתחום רשות מקומית</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324DF8">
        <w:rPr>
          <w:rStyle w:val="default"/>
          <w:rFonts w:cs="FrankRuehl" w:hint="cs"/>
          <w:rtl/>
        </w:rPr>
        <w:t>על אף האמור בסעיף 32(ד)(3) בחוק, הפעלת סמכויותיו של הנציב מכוח סעיף זה בחוק תהייה בהסכמת הממונה כהגדרתו בתקנון המועצות המקומיות</w:t>
      </w:r>
      <w:r w:rsidR="00A3778D">
        <w:rPr>
          <w:rStyle w:val="default"/>
          <w:rFonts w:cs="FrankRuehl" w:hint="cs"/>
          <w:rtl/>
        </w:rPr>
        <w:t>.</w:t>
      </w:r>
    </w:p>
    <w:p w:rsidR="00077E5B" w:rsidRDefault="00077E5B" w:rsidP="00324DF8">
      <w:pPr>
        <w:pStyle w:val="P00"/>
        <w:spacing w:before="72"/>
        <w:ind w:left="0" w:right="1134"/>
        <w:rPr>
          <w:rStyle w:val="default"/>
          <w:rFonts w:cs="FrankRuehl" w:hint="cs"/>
          <w:rtl/>
        </w:rPr>
      </w:pPr>
      <w:bookmarkStart w:id="8" w:name="Seif4"/>
      <w:bookmarkEnd w:id="8"/>
      <w:r>
        <w:rPr>
          <w:rFonts w:cs="Miriam"/>
          <w:lang w:val="he-IL"/>
        </w:rPr>
        <w:pict>
          <v:rect id="_x0000_s1579" style="position:absolute;left:0;text-align:left;margin-left:464.35pt;margin-top:7.1pt;width:75.05pt;height:25.3pt;z-index:251645440" o:allowincell="f" filled="f" stroked="f" strokecolor="lime" strokeweight=".25pt">
            <v:textbox style="mso-next-textbox:#_x0000_s1579" inset="0,0,0,0">
              <w:txbxContent>
                <w:p w:rsidR="00965525" w:rsidRDefault="00324DF8" w:rsidP="005D1A70">
                  <w:pPr>
                    <w:pStyle w:val="a7"/>
                    <w:rPr>
                      <w:rFonts w:hint="cs"/>
                      <w:noProof/>
                      <w:rtl/>
                    </w:rPr>
                  </w:pPr>
                  <w:r>
                    <w:rPr>
                      <w:rFonts w:hint="cs"/>
                      <w:rtl/>
                    </w:rPr>
                    <w:t>אישור תוכנית יער וחורש</w:t>
                  </w:r>
                </w:p>
              </w:txbxContent>
            </v:textbox>
            <w10:anchorlock/>
          </v:rect>
        </w:pict>
      </w:r>
      <w:r w:rsidR="005D1A70">
        <w:rPr>
          <w:rStyle w:val="big-number"/>
          <w:rFonts w:cs="Miriam" w:hint="cs"/>
          <w:rtl/>
        </w:rPr>
        <w:t>9</w:t>
      </w:r>
      <w:r>
        <w:rPr>
          <w:rStyle w:val="default"/>
          <w:rFonts w:cs="FrankRuehl"/>
          <w:rtl/>
        </w:rPr>
        <w:t>.</w:t>
      </w:r>
      <w:r>
        <w:rPr>
          <w:rStyle w:val="default"/>
          <w:rFonts w:cs="FrankRuehl"/>
          <w:rtl/>
        </w:rPr>
        <w:tab/>
      </w:r>
      <w:r w:rsidR="00324DF8">
        <w:rPr>
          <w:rStyle w:val="default"/>
          <w:rFonts w:cs="FrankRuehl" w:hint="cs"/>
          <w:rtl/>
        </w:rPr>
        <w:t>(א)</w:t>
      </w:r>
      <w:r w:rsidR="00324DF8">
        <w:rPr>
          <w:rStyle w:val="default"/>
          <w:rFonts w:cs="FrankRuehl" w:hint="cs"/>
          <w:rtl/>
        </w:rPr>
        <w:tab/>
        <w:t xml:space="preserve">בנוסף לאמור בכל דין, לא יבצע אדם נטיעה של יער או חורש חדש (בצו זה </w:t>
      </w:r>
      <w:r w:rsidR="00324DF8">
        <w:rPr>
          <w:rStyle w:val="default"/>
          <w:rFonts w:cs="FrankRuehl"/>
          <w:rtl/>
        </w:rPr>
        <w:t>–</w:t>
      </w:r>
      <w:r w:rsidR="00324DF8">
        <w:rPr>
          <w:rStyle w:val="default"/>
          <w:rFonts w:cs="FrankRuehl" w:hint="cs"/>
          <w:rtl/>
        </w:rPr>
        <w:t xml:space="preserve"> נטיעה) שלא על פי תכנית נטיעה לעניין בטיחות אש והצלה (בצו זה </w:t>
      </w:r>
      <w:r w:rsidR="00324DF8">
        <w:rPr>
          <w:rStyle w:val="default"/>
          <w:rFonts w:cs="FrankRuehl"/>
          <w:rtl/>
        </w:rPr>
        <w:t>–</w:t>
      </w:r>
      <w:r w:rsidR="00324DF8">
        <w:rPr>
          <w:rStyle w:val="default"/>
          <w:rFonts w:cs="FrankRuehl" w:hint="cs"/>
          <w:rtl/>
        </w:rPr>
        <w:t xml:space="preserve"> תכנית נטיעה); תכנית הנטיעה תכלול פרטים שקבע הנציב.</w:t>
      </w:r>
    </w:p>
    <w:p w:rsidR="00324DF8" w:rsidRDefault="00324DF8" w:rsidP="00324D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לבצע נטיעה יגיש תכנית נטיעה למפקד המחוז שבתחומו נמצא היער או החורש.</w:t>
      </w:r>
    </w:p>
    <w:p w:rsidR="00324DF8" w:rsidRDefault="00324DF8" w:rsidP="00324D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מפקד המחוז כי תכנית הנטיעה עומדת בכללים שנקבעו לעניין זה לפי סעיף 44 לחוק, יאשר את התכנית.</w:t>
      </w:r>
    </w:p>
    <w:p w:rsidR="00324DF8" w:rsidRDefault="00324DF8" w:rsidP="00324DF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מכל חובה לפי כל דין, לרבות חובת רישיון, היתר או אישור.</w:t>
      </w:r>
    </w:p>
    <w:p w:rsidR="00324DF8" w:rsidRDefault="00324DF8" w:rsidP="00324DF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"מפקד מחוז" </w:t>
      </w:r>
      <w:r>
        <w:rPr>
          <w:rStyle w:val="default"/>
          <w:rFonts w:cs="FrankRuehl"/>
          <w:rtl/>
        </w:rPr>
        <w:t>–</w:t>
      </w:r>
      <w:r>
        <w:rPr>
          <w:rStyle w:val="default"/>
          <w:rFonts w:cs="FrankRuehl" w:hint="cs"/>
          <w:rtl/>
        </w:rPr>
        <w:t xml:space="preserve"> לרבות קצין כבאות והצלה שמפקד המחוז הסמיך לעניין סעיף זה.</w:t>
      </w:r>
    </w:p>
    <w:p w:rsidR="00C76A7D" w:rsidRDefault="00C76A7D" w:rsidP="00324DF8">
      <w:pPr>
        <w:pStyle w:val="P00"/>
        <w:spacing w:before="72"/>
        <w:ind w:left="0" w:right="1134"/>
        <w:rPr>
          <w:rStyle w:val="default"/>
          <w:rFonts w:cs="FrankRuehl" w:hint="cs"/>
          <w:rtl/>
        </w:rPr>
      </w:pPr>
      <w:bookmarkStart w:id="9" w:name="Seif10"/>
      <w:bookmarkEnd w:id="9"/>
      <w:r>
        <w:rPr>
          <w:rFonts w:cs="Miriam"/>
          <w:lang w:val="he-IL"/>
        </w:rPr>
        <w:pict>
          <v:rect id="_x0000_s1788" style="position:absolute;left:0;text-align:left;margin-left:464.35pt;margin-top:7.1pt;width:75.05pt;height:12.55pt;z-index:251651584" o:allowincell="f" filled="f" stroked="f" strokecolor="lime" strokeweight=".25pt">
            <v:textbox style="mso-next-textbox:#_x0000_s1788" inset="0,0,0,0">
              <w:txbxContent>
                <w:p w:rsidR="00C76A7D" w:rsidRDefault="00324DF8" w:rsidP="00C76A7D">
                  <w:pPr>
                    <w:pStyle w:val="a7"/>
                    <w:rPr>
                      <w:rFonts w:hint="cs"/>
                      <w:noProof/>
                      <w:rtl/>
                    </w:rPr>
                  </w:pPr>
                  <w:r>
                    <w:rPr>
                      <w:rFonts w:hint="cs"/>
                      <w:rtl/>
                    </w:rPr>
                    <w:t>שלטון מקומי</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324DF8">
        <w:rPr>
          <w:rStyle w:val="default"/>
          <w:rFonts w:cs="FrankRuehl" w:hint="cs"/>
          <w:rtl/>
        </w:rPr>
        <w:t>הוראות החוק הנוגעות לרשות מקומית יחולו על המועצה המקומית ועל המועצה האזורית.</w:t>
      </w:r>
    </w:p>
    <w:p w:rsidR="00C76A7D" w:rsidRDefault="00C76A7D" w:rsidP="00324DF8">
      <w:pPr>
        <w:pStyle w:val="P00"/>
        <w:spacing w:before="72"/>
        <w:ind w:left="0" w:right="1134"/>
        <w:rPr>
          <w:rStyle w:val="default"/>
          <w:rFonts w:cs="FrankRuehl" w:hint="cs"/>
          <w:rtl/>
        </w:rPr>
      </w:pPr>
      <w:bookmarkStart w:id="10" w:name="Seif11"/>
      <w:bookmarkEnd w:id="10"/>
      <w:r>
        <w:rPr>
          <w:rFonts w:cs="Miriam"/>
          <w:lang w:val="he-IL"/>
        </w:rPr>
        <w:pict>
          <v:rect id="_x0000_s1789" style="position:absolute;left:0;text-align:left;margin-left:464.35pt;margin-top:7.1pt;width:75.05pt;height:12.55pt;z-index:251652608" o:allowincell="f" filled="f" stroked="f" strokecolor="lime" strokeweight=".25pt">
            <v:textbox style="mso-next-textbox:#_x0000_s1789" inset="0,0,0,0">
              <w:txbxContent>
                <w:p w:rsidR="00C76A7D" w:rsidRDefault="00324DF8" w:rsidP="00324DF8">
                  <w:pPr>
                    <w:pStyle w:val="a7"/>
                    <w:rPr>
                      <w:rFonts w:hint="cs"/>
                      <w:noProof/>
                      <w:rtl/>
                    </w:rPr>
                  </w:pPr>
                  <w:r>
                    <w:rPr>
                      <w:rFonts w:hint="cs"/>
                      <w:rtl/>
                    </w:rPr>
                    <w:t>צו הפסקה מנהלי</w:t>
                  </w:r>
                </w:p>
              </w:txbxContent>
            </v:textbox>
            <w10:anchorlock/>
          </v:rect>
        </w:pict>
      </w:r>
      <w:r>
        <w:rPr>
          <w:rStyle w:val="big-number"/>
          <w:rFonts w:cs="Miriam" w:hint="cs"/>
          <w:rtl/>
        </w:rPr>
        <w:t>1</w:t>
      </w:r>
      <w:r w:rsidR="00324DF8">
        <w:rPr>
          <w:rStyle w:val="big-number"/>
          <w:rFonts w:cs="Miriam" w:hint="cs"/>
          <w:rtl/>
        </w:rPr>
        <w:t>1</w:t>
      </w:r>
      <w:r>
        <w:rPr>
          <w:rStyle w:val="default"/>
          <w:rFonts w:cs="FrankRuehl"/>
          <w:rtl/>
        </w:rPr>
        <w:t>.</w:t>
      </w:r>
      <w:r>
        <w:rPr>
          <w:rStyle w:val="default"/>
          <w:rFonts w:cs="FrankRuehl"/>
          <w:rtl/>
        </w:rPr>
        <w:tab/>
      </w:r>
      <w:r w:rsidR="00324DF8">
        <w:rPr>
          <w:rStyle w:val="default"/>
          <w:rFonts w:cs="FrankRuehl" w:hint="cs"/>
          <w:rtl/>
        </w:rPr>
        <w:t>על אף האמור בסעיף 55 לחוק, צו הפסקה מנהלי מכוח החוק יומצא באזור בדרך הקבועה בסעיף 62 לחוק תכנון ערים, כפרים ובניינים, מס' 79 לשנת 1966.</w:t>
      </w:r>
    </w:p>
    <w:p w:rsidR="00C76A7D" w:rsidRDefault="00C76A7D" w:rsidP="00324DF8">
      <w:pPr>
        <w:pStyle w:val="P00"/>
        <w:spacing w:before="72"/>
        <w:ind w:left="0" w:right="1134"/>
        <w:rPr>
          <w:rStyle w:val="default"/>
          <w:rFonts w:cs="FrankRuehl" w:hint="cs"/>
          <w:rtl/>
        </w:rPr>
      </w:pPr>
      <w:bookmarkStart w:id="11" w:name="Seif12"/>
      <w:bookmarkEnd w:id="11"/>
      <w:r>
        <w:rPr>
          <w:rFonts w:cs="Miriam"/>
          <w:lang w:val="he-IL"/>
        </w:rPr>
        <w:pict>
          <v:rect id="_x0000_s1790" style="position:absolute;left:0;text-align:left;margin-left:464.35pt;margin-top:7.1pt;width:75.05pt;height:30.8pt;z-index:251653632" o:allowincell="f" filled="f" stroked="f" strokecolor="lime" strokeweight=".25pt">
            <v:textbox style="mso-next-textbox:#_x0000_s1790" inset="0,0,0,0">
              <w:txbxContent>
                <w:p w:rsidR="00C76A7D" w:rsidRDefault="00324DF8" w:rsidP="00C76A7D">
                  <w:pPr>
                    <w:pStyle w:val="a7"/>
                    <w:rPr>
                      <w:rFonts w:hint="cs"/>
                      <w:noProof/>
                      <w:rtl/>
                    </w:rPr>
                  </w:pPr>
                  <w:r>
                    <w:rPr>
                      <w:rFonts w:hint="cs"/>
                      <w:rtl/>
                    </w:rPr>
                    <w:t>סמכויות חוקר דליקות וסמכויות מפקח</w:t>
                  </w:r>
                </w:p>
              </w:txbxContent>
            </v:textbox>
            <w10:anchorlock/>
          </v:rect>
        </w:pict>
      </w:r>
      <w:r>
        <w:rPr>
          <w:rStyle w:val="big-number"/>
          <w:rFonts w:cs="Miriam" w:hint="cs"/>
          <w:rtl/>
        </w:rPr>
        <w:t>1</w:t>
      </w:r>
      <w:r w:rsidR="00324DF8">
        <w:rPr>
          <w:rStyle w:val="big-number"/>
          <w:rFonts w:cs="Miriam" w:hint="cs"/>
          <w:rtl/>
        </w:rPr>
        <w:t>2</w:t>
      </w:r>
      <w:r>
        <w:rPr>
          <w:rStyle w:val="default"/>
          <w:rFonts w:cs="FrankRuehl"/>
          <w:rtl/>
        </w:rPr>
        <w:t>.</w:t>
      </w:r>
      <w:r>
        <w:rPr>
          <w:rStyle w:val="default"/>
          <w:rFonts w:cs="FrankRuehl"/>
          <w:rtl/>
        </w:rPr>
        <w:tab/>
      </w:r>
      <w:r w:rsidR="00324DF8">
        <w:rPr>
          <w:rStyle w:val="default"/>
          <w:rFonts w:cs="FrankRuehl" w:hint="cs"/>
          <w:rtl/>
        </w:rPr>
        <w:t>על אף האמור בחוק ובצו זה, לעניין הפעלת סמכויות של מפקח מכוח סעיף 48 לחוק באזור ושל חוקר דליקות מכוח סעיף 62 לחוק באזור, בכל מקום בו הפעלת הסמכות טעונה החלטת בית משפט בישראל:</w:t>
      </w:r>
    </w:p>
    <w:p w:rsidR="00324DF8" w:rsidRDefault="00324DF8" w:rsidP="00324DF8">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כאשר מדובר במקרקעין המצויים בתחום מועצה מקומית או מועצה אזורית, בעל הסמכות יהיה בית המשפט לעניינים מקומיים כהגדרתו בתקנון המועצות המקומיות;</w:t>
      </w:r>
    </w:p>
    <w:p w:rsidR="00324DF8" w:rsidRDefault="00324DF8" w:rsidP="00324DF8">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כאשר מדובר במקרקעין המצויים מחוץ לתחום מועצה מקומית או מועצה אזורית, בעל הסמכות יהיה בית משפט השלום בירושלים.</w:t>
      </w:r>
    </w:p>
    <w:p w:rsidR="00C76A7D" w:rsidRDefault="00C76A7D" w:rsidP="00324DF8">
      <w:pPr>
        <w:pStyle w:val="P00"/>
        <w:spacing w:before="72"/>
        <w:ind w:left="0" w:right="1134"/>
        <w:rPr>
          <w:rStyle w:val="default"/>
          <w:rFonts w:cs="FrankRuehl" w:hint="cs"/>
          <w:rtl/>
        </w:rPr>
      </w:pPr>
      <w:bookmarkStart w:id="12" w:name="Seif13"/>
      <w:bookmarkEnd w:id="12"/>
      <w:r>
        <w:rPr>
          <w:rFonts w:cs="Miriam"/>
          <w:lang w:val="he-IL"/>
        </w:rPr>
        <w:pict>
          <v:rect id="_x0000_s1791" style="position:absolute;left:0;text-align:left;margin-left:464.35pt;margin-top:7.1pt;width:75.05pt;height:12.55pt;z-index:251654656" o:allowincell="f" filled="f" stroked="f" strokecolor="lime" strokeweight=".25pt">
            <v:textbox style="mso-next-textbox:#_x0000_s1791" inset="0,0,0,0">
              <w:txbxContent>
                <w:p w:rsidR="00C76A7D" w:rsidRDefault="00324DF8" w:rsidP="00C76A7D">
                  <w:pPr>
                    <w:pStyle w:val="a7"/>
                    <w:rPr>
                      <w:rFonts w:hint="cs"/>
                      <w:noProof/>
                      <w:rtl/>
                    </w:rPr>
                  </w:pPr>
                  <w:r>
                    <w:rPr>
                      <w:rFonts w:hint="cs"/>
                      <w:rtl/>
                    </w:rPr>
                    <w:t>רישוי עסקים</w:t>
                  </w:r>
                </w:p>
              </w:txbxContent>
            </v:textbox>
            <w10:anchorlock/>
          </v:rect>
        </w:pict>
      </w:r>
      <w:r>
        <w:rPr>
          <w:rStyle w:val="big-number"/>
          <w:rFonts w:cs="Miriam" w:hint="cs"/>
          <w:rtl/>
        </w:rPr>
        <w:t>1</w:t>
      </w:r>
      <w:r w:rsidR="00324DF8">
        <w:rPr>
          <w:rStyle w:val="big-number"/>
          <w:rFonts w:cs="Miriam" w:hint="cs"/>
          <w:rtl/>
        </w:rPr>
        <w:t>3</w:t>
      </w:r>
      <w:r>
        <w:rPr>
          <w:rStyle w:val="default"/>
          <w:rFonts w:cs="FrankRuehl"/>
          <w:rtl/>
        </w:rPr>
        <w:t>.</w:t>
      </w:r>
      <w:r>
        <w:rPr>
          <w:rStyle w:val="default"/>
          <w:rFonts w:cs="FrankRuehl"/>
          <w:rtl/>
        </w:rPr>
        <w:tab/>
      </w:r>
      <w:r w:rsidR="00324DF8">
        <w:rPr>
          <w:rStyle w:val="default"/>
          <w:rFonts w:cs="FrankRuehl" w:hint="cs"/>
          <w:rtl/>
        </w:rPr>
        <w:t>על אף האמור בסעיף 43(ה) לחוק, תפעיל הרשות את הסמכויות הנתונות לה בסעיף האמור, בתחומי המועצות המקומיות והאזוריות בלבד. לעניין סעיף זה חוק רישוי עסקים הינו חוק רישוי עסקים, התשכ"ח-1968 כפי תוקפו בפרק ט'1 לתקנון המועצות המקומיות.</w:t>
      </w:r>
    </w:p>
    <w:p w:rsidR="00C76A7D" w:rsidRDefault="00C76A7D" w:rsidP="00324DF8">
      <w:pPr>
        <w:pStyle w:val="P00"/>
        <w:spacing w:before="72"/>
        <w:ind w:left="0" w:right="1134"/>
        <w:rPr>
          <w:rStyle w:val="default"/>
          <w:rFonts w:cs="FrankRuehl" w:hint="cs"/>
          <w:rtl/>
        </w:rPr>
      </w:pPr>
      <w:bookmarkStart w:id="13" w:name="Seif14"/>
      <w:bookmarkEnd w:id="13"/>
      <w:r>
        <w:rPr>
          <w:rFonts w:cs="Miriam"/>
          <w:lang w:val="he-IL"/>
        </w:rPr>
        <w:pict>
          <v:rect id="_x0000_s1792" style="position:absolute;left:0;text-align:left;margin-left:464.35pt;margin-top:7.1pt;width:75.05pt;height:25pt;z-index:251655680" o:allowincell="f" filled="f" stroked="f" strokecolor="lime" strokeweight=".25pt">
            <v:textbox style="mso-next-textbox:#_x0000_s1792" inset="0,0,0,0">
              <w:txbxContent>
                <w:p w:rsidR="00C76A7D" w:rsidRDefault="00324DF8" w:rsidP="00C76A7D">
                  <w:pPr>
                    <w:pStyle w:val="a7"/>
                    <w:rPr>
                      <w:rFonts w:hint="cs"/>
                      <w:noProof/>
                      <w:rtl/>
                    </w:rPr>
                  </w:pPr>
                  <w:r>
                    <w:rPr>
                      <w:rFonts w:hint="cs"/>
                      <w:rtl/>
                    </w:rPr>
                    <w:t>הוראות בדבר הספקת מים</w:t>
                  </w:r>
                </w:p>
              </w:txbxContent>
            </v:textbox>
            <w10:anchorlock/>
          </v:rect>
        </w:pict>
      </w:r>
      <w:r>
        <w:rPr>
          <w:rStyle w:val="big-number"/>
          <w:rFonts w:cs="Miriam" w:hint="cs"/>
          <w:rtl/>
        </w:rPr>
        <w:t>1</w:t>
      </w:r>
      <w:r w:rsidR="00324DF8">
        <w:rPr>
          <w:rStyle w:val="big-number"/>
          <w:rFonts w:cs="Miriam" w:hint="cs"/>
          <w:rtl/>
        </w:rPr>
        <w:t>4</w:t>
      </w:r>
      <w:r>
        <w:rPr>
          <w:rStyle w:val="default"/>
          <w:rFonts w:cs="FrankRuehl"/>
          <w:rtl/>
        </w:rPr>
        <w:t>.</w:t>
      </w:r>
      <w:r>
        <w:rPr>
          <w:rStyle w:val="default"/>
          <w:rFonts w:cs="FrankRuehl"/>
          <w:rtl/>
        </w:rPr>
        <w:tab/>
      </w:r>
      <w:r w:rsidR="00324DF8">
        <w:rPr>
          <w:rStyle w:val="default"/>
          <w:rFonts w:cs="FrankRuehl" w:hint="cs"/>
          <w:rtl/>
        </w:rPr>
        <w:t>(א)</w:t>
      </w:r>
      <w:r w:rsidR="00324DF8">
        <w:rPr>
          <w:rStyle w:val="default"/>
          <w:rFonts w:cs="FrankRuehl" w:hint="cs"/>
          <w:rtl/>
        </w:rPr>
        <w:tab/>
        <w:t>על אף האמור בסעיף 46 לחוק וסעיף 26 לצו זה, מצא קצין מטה לענייני מים במנהל האזרחי, כי ההוראות שהותקנו מכוח סעיף 46 לחוק זה במדינת ישראל אינן תואמות את צרכי האזור או שאינן ישימות באזור, לא יחולו ההוראות באזור, כולן או מקצתן והכל בהתאם להוראה של קצין מטה לענייני מים. הוראה כאמור לא תינתן אלא לאחר היוועצות בנציב הכבאות.</w:t>
      </w:r>
    </w:p>
    <w:p w:rsidR="00324DF8" w:rsidRDefault="00324DF8" w:rsidP="00324D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ביטל קצין מטה לענייני מים הוראות, כולן או מקצתן, כאמור בסעיף קטן (א), יקבע, לאחר היוועצות עם הנציב, בתוך 45 יום מיום הוראת הביטול, כללים אחרים, המחליפים את הכללים שעל בטלותם הורה.</w:t>
      </w:r>
    </w:p>
    <w:p w:rsidR="00324DF8" w:rsidRDefault="00324DF8" w:rsidP="00324D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בתוך 15 יום ממועד התקנת הכללים יוכל נציב הכבאות לערער על הכללים שנקבעו בפני מפקד כוחות צה"ל באזור, אשר החלטתו בעניין תהייה סופית.</w:t>
      </w:r>
    </w:p>
    <w:p w:rsidR="00324DF8" w:rsidRPr="00735B0A" w:rsidRDefault="00324DF8" w:rsidP="00735B0A">
      <w:pPr>
        <w:pStyle w:val="medium2-header"/>
        <w:keepLines w:val="0"/>
        <w:spacing w:before="72"/>
        <w:ind w:left="0" w:right="1134"/>
        <w:rPr>
          <w:rFonts w:cs="FrankRuehl" w:hint="cs"/>
          <w:noProof/>
          <w:rtl/>
        </w:rPr>
      </w:pPr>
      <w:bookmarkStart w:id="14" w:name="med0"/>
      <w:bookmarkEnd w:id="14"/>
      <w:r w:rsidRPr="00735B0A">
        <w:rPr>
          <w:rFonts w:cs="FrankRuehl" w:hint="cs"/>
          <w:noProof/>
          <w:rtl/>
        </w:rPr>
        <w:t>עונשין</w:t>
      </w:r>
    </w:p>
    <w:p w:rsidR="00C76A7D" w:rsidRDefault="00C76A7D" w:rsidP="00856C09">
      <w:pPr>
        <w:pStyle w:val="P00"/>
        <w:spacing w:before="72"/>
        <w:ind w:left="0" w:right="1134"/>
        <w:rPr>
          <w:rStyle w:val="default"/>
          <w:rFonts w:cs="FrankRuehl" w:hint="cs"/>
          <w:rtl/>
        </w:rPr>
      </w:pPr>
      <w:bookmarkStart w:id="15" w:name="Seif15"/>
      <w:bookmarkEnd w:id="15"/>
      <w:r>
        <w:rPr>
          <w:rFonts w:cs="Miriam"/>
          <w:lang w:val="he-IL"/>
        </w:rPr>
        <w:pict>
          <v:rect id="_x0000_s1793" style="position:absolute;left:0;text-align:left;margin-left:464.35pt;margin-top:7.1pt;width:75.05pt;height:12.55pt;z-index:251656704" o:allowincell="f" filled="f" stroked="f" strokecolor="lime" strokeweight=".25pt">
            <v:textbox style="mso-next-textbox:#_x0000_s1793" inset="0,0,0,0">
              <w:txbxContent>
                <w:p w:rsidR="00C76A7D" w:rsidRDefault="00856C09" w:rsidP="00C76A7D">
                  <w:pPr>
                    <w:pStyle w:val="a7"/>
                    <w:rPr>
                      <w:rFonts w:hint="cs"/>
                      <w:noProof/>
                      <w:rtl/>
                    </w:rPr>
                  </w:pPr>
                  <w:r>
                    <w:rPr>
                      <w:rFonts w:hint="cs"/>
                      <w:rtl/>
                    </w:rPr>
                    <w:t>הפרעה לצוות כיבוי</w:t>
                  </w:r>
                </w:p>
              </w:txbxContent>
            </v:textbox>
            <w10:anchorlock/>
          </v:rect>
        </w:pict>
      </w:r>
      <w:r>
        <w:rPr>
          <w:rStyle w:val="big-number"/>
          <w:rFonts w:cs="Miriam" w:hint="cs"/>
          <w:rtl/>
        </w:rPr>
        <w:t>1</w:t>
      </w:r>
      <w:r w:rsidR="00324DF8">
        <w:rPr>
          <w:rStyle w:val="big-number"/>
          <w:rFonts w:cs="Miriam" w:hint="cs"/>
          <w:rtl/>
        </w:rPr>
        <w:t>5</w:t>
      </w:r>
      <w:r>
        <w:rPr>
          <w:rStyle w:val="default"/>
          <w:rFonts w:cs="FrankRuehl"/>
          <w:rtl/>
        </w:rPr>
        <w:t>.</w:t>
      </w:r>
      <w:r>
        <w:rPr>
          <w:rStyle w:val="default"/>
          <w:rFonts w:cs="FrankRuehl"/>
          <w:rtl/>
        </w:rPr>
        <w:tab/>
      </w:r>
      <w:r w:rsidR="00856C09">
        <w:rPr>
          <w:rStyle w:val="default"/>
          <w:rFonts w:cs="FrankRuehl" w:hint="cs"/>
          <w:rtl/>
        </w:rPr>
        <w:t xml:space="preserve">המפריע לחבר בצוות כיבוי מפעלי, או לחבר בצוות כיבוי לשטחים פתוחים, כהגדרתם בחוק, במילוי תפקידו, דינו </w:t>
      </w:r>
      <w:r w:rsidR="00856C09">
        <w:rPr>
          <w:rStyle w:val="default"/>
          <w:rFonts w:cs="FrankRuehl"/>
          <w:rtl/>
        </w:rPr>
        <w:t>–</w:t>
      </w:r>
      <w:r w:rsidR="00856C09">
        <w:rPr>
          <w:rStyle w:val="default"/>
          <w:rFonts w:cs="FrankRuehl" w:hint="cs"/>
          <w:rtl/>
        </w:rPr>
        <w:t xml:space="preserve"> מאסר שנה.</w:t>
      </w:r>
    </w:p>
    <w:p w:rsidR="00C76A7D" w:rsidRDefault="00C76A7D" w:rsidP="00856C09">
      <w:pPr>
        <w:pStyle w:val="P00"/>
        <w:spacing w:before="72"/>
        <w:ind w:left="0" w:right="1134"/>
        <w:rPr>
          <w:rStyle w:val="default"/>
          <w:rFonts w:cs="FrankRuehl" w:hint="cs"/>
          <w:rtl/>
        </w:rPr>
      </w:pPr>
      <w:bookmarkStart w:id="16" w:name="Seif16"/>
      <w:bookmarkEnd w:id="16"/>
      <w:r>
        <w:rPr>
          <w:rFonts w:cs="Miriam"/>
          <w:lang w:val="he-IL"/>
        </w:rPr>
        <w:pict>
          <v:rect id="_x0000_s1794" style="position:absolute;left:0;text-align:left;margin-left:464.35pt;margin-top:7.1pt;width:75.05pt;height:12.55pt;z-index:251657728" o:allowincell="f" filled="f" stroked="f" strokecolor="lime" strokeweight=".25pt">
            <v:textbox style="mso-next-textbox:#_x0000_s1794" inset="0,0,0,0">
              <w:txbxContent>
                <w:p w:rsidR="00C76A7D" w:rsidRDefault="00856C09" w:rsidP="00C76A7D">
                  <w:pPr>
                    <w:pStyle w:val="a7"/>
                    <w:rPr>
                      <w:rFonts w:hint="cs"/>
                      <w:noProof/>
                      <w:rtl/>
                    </w:rPr>
                  </w:pPr>
                  <w:r>
                    <w:rPr>
                      <w:rFonts w:hint="cs"/>
                      <w:rtl/>
                    </w:rPr>
                    <w:t>השפעה שלא כדין</w:t>
                  </w:r>
                </w:p>
              </w:txbxContent>
            </v:textbox>
            <w10:anchorlock/>
          </v:rect>
        </w:pict>
      </w:r>
      <w:r>
        <w:rPr>
          <w:rStyle w:val="big-number"/>
          <w:rFonts w:cs="Miriam" w:hint="cs"/>
          <w:rtl/>
        </w:rPr>
        <w:t>1</w:t>
      </w:r>
      <w:r w:rsidR="00856C09">
        <w:rPr>
          <w:rStyle w:val="big-number"/>
          <w:rFonts w:cs="Miriam" w:hint="cs"/>
          <w:rtl/>
        </w:rPr>
        <w:t>6</w:t>
      </w:r>
      <w:r>
        <w:rPr>
          <w:rStyle w:val="default"/>
          <w:rFonts w:cs="FrankRuehl"/>
          <w:rtl/>
        </w:rPr>
        <w:t>.</w:t>
      </w:r>
      <w:r>
        <w:rPr>
          <w:rStyle w:val="default"/>
          <w:rFonts w:cs="FrankRuehl"/>
          <w:rtl/>
        </w:rPr>
        <w:tab/>
      </w:r>
      <w:r w:rsidR="00856C09">
        <w:rPr>
          <w:rStyle w:val="default"/>
          <w:rFonts w:cs="FrankRuehl" w:hint="cs"/>
          <w:rtl/>
        </w:rPr>
        <w:t xml:space="preserve">המשפיע או המנסה להשפיע שלא כדין על חוקר דליקות, בכל הקשור לביצוע חקירת דליקות לפי סימן א' לפרק ו' לחוק, דינו </w:t>
      </w:r>
      <w:r w:rsidR="00856C09">
        <w:rPr>
          <w:rStyle w:val="default"/>
          <w:rFonts w:cs="FrankRuehl"/>
          <w:rtl/>
        </w:rPr>
        <w:t>–</w:t>
      </w:r>
      <w:r w:rsidR="00856C09">
        <w:rPr>
          <w:rStyle w:val="default"/>
          <w:rFonts w:cs="FrankRuehl" w:hint="cs"/>
          <w:rtl/>
        </w:rPr>
        <w:t xml:space="preserve"> מאסר שנה.</w:t>
      </w:r>
    </w:p>
    <w:p w:rsidR="00C76A7D" w:rsidRDefault="00C76A7D" w:rsidP="00856C09">
      <w:pPr>
        <w:pStyle w:val="P00"/>
        <w:spacing w:before="72"/>
        <w:ind w:left="0" w:right="1134"/>
        <w:rPr>
          <w:rStyle w:val="default"/>
          <w:rFonts w:cs="FrankRuehl" w:hint="cs"/>
          <w:rtl/>
        </w:rPr>
      </w:pPr>
      <w:bookmarkStart w:id="17" w:name="Seif17"/>
      <w:bookmarkEnd w:id="17"/>
      <w:r>
        <w:rPr>
          <w:rFonts w:cs="Miriam"/>
          <w:lang w:val="he-IL"/>
        </w:rPr>
        <w:pict>
          <v:rect id="_x0000_s1795" style="position:absolute;left:0;text-align:left;margin-left:464.35pt;margin-top:7.1pt;width:75.05pt;height:12.55pt;z-index:251658752" o:allowincell="f" filled="f" stroked="f" strokecolor="lime" strokeweight=".25pt">
            <v:textbox style="mso-next-textbox:#_x0000_s1795" inset="0,0,0,0">
              <w:txbxContent>
                <w:p w:rsidR="00C76A7D" w:rsidRDefault="00856C09" w:rsidP="00C76A7D">
                  <w:pPr>
                    <w:pStyle w:val="a7"/>
                    <w:rPr>
                      <w:rFonts w:hint="cs"/>
                      <w:noProof/>
                      <w:rtl/>
                    </w:rPr>
                  </w:pPr>
                  <w:r>
                    <w:rPr>
                      <w:rFonts w:hint="cs"/>
                      <w:rtl/>
                    </w:rPr>
                    <w:t>עבירות בטיחות באש</w:t>
                  </w:r>
                </w:p>
              </w:txbxContent>
            </v:textbox>
            <w10:anchorlock/>
          </v:rect>
        </w:pict>
      </w:r>
      <w:r>
        <w:rPr>
          <w:rStyle w:val="big-number"/>
          <w:rFonts w:cs="Miriam" w:hint="cs"/>
          <w:rtl/>
        </w:rPr>
        <w:t>1</w:t>
      </w:r>
      <w:r w:rsidR="00856C09">
        <w:rPr>
          <w:rStyle w:val="big-number"/>
          <w:rFonts w:cs="Miriam" w:hint="cs"/>
          <w:rtl/>
        </w:rPr>
        <w:t>7</w:t>
      </w:r>
      <w:r>
        <w:rPr>
          <w:rStyle w:val="default"/>
          <w:rFonts w:cs="FrankRuehl"/>
          <w:rtl/>
        </w:rPr>
        <w:t>.</w:t>
      </w:r>
      <w:r>
        <w:rPr>
          <w:rStyle w:val="default"/>
          <w:rFonts w:cs="FrankRuehl"/>
          <w:rtl/>
        </w:rPr>
        <w:tab/>
      </w:r>
      <w:r w:rsidR="00856C09">
        <w:rPr>
          <w:rStyle w:val="default"/>
          <w:rFonts w:cs="FrankRuehl" w:hint="cs"/>
          <w:rtl/>
        </w:rPr>
        <w:t>(א)</w:t>
      </w:r>
      <w:r w:rsidR="00856C09">
        <w:rPr>
          <w:rStyle w:val="default"/>
          <w:rFonts w:cs="FrankRuehl" w:hint="cs"/>
          <w:rtl/>
        </w:rPr>
        <w:tab/>
        <w:t xml:space="preserve">העושה אחת מאלה, דינו </w:t>
      </w:r>
      <w:r w:rsidR="00856C09">
        <w:rPr>
          <w:rStyle w:val="default"/>
          <w:rFonts w:cs="FrankRuehl"/>
          <w:rtl/>
        </w:rPr>
        <w:t>–</w:t>
      </w:r>
      <w:r w:rsidR="00856C09">
        <w:rPr>
          <w:rStyle w:val="default"/>
          <w:rFonts w:cs="FrankRuehl" w:hint="cs"/>
          <w:rtl/>
        </w:rPr>
        <w:t xml:space="preserve"> מאסר שישה חודשים או קנס כאמור בסעיף 61(א)(3) לחוק העונשין:</w:t>
      </w:r>
    </w:p>
    <w:p w:rsidR="00856C09" w:rsidRDefault="00856C09" w:rsidP="00856C0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הקים צוות כיבוי מפעלי או צוות כיבוי לשטחים פתוחים, בניגוד להוראות שנתן לו הנציב בצו לפי סעיף 31 או 32 לחוק;</w:t>
      </w:r>
    </w:p>
    <w:p w:rsidR="00856C09" w:rsidRDefault="00856C09" w:rsidP="00856C0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בתחום מועצה אזורית, בתחום מועצה מקומית, ובמתקן, בניגוד לתקנות לפי סעיף 42 לחוק </w:t>
      </w:r>
      <w:r>
        <w:rPr>
          <w:rStyle w:val="default"/>
          <w:rFonts w:cs="FrankRuehl"/>
          <w:rtl/>
        </w:rPr>
        <w:t>–</w:t>
      </w:r>
    </w:p>
    <w:p w:rsidR="00856C09" w:rsidRDefault="00856C09" w:rsidP="00856C0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 התקין אמצעי בטיחות אש והצלה בנכס או לא החזיקם במצב תקין, לא תרגל את השימוש בהם או לא בדק את תקינותם בניגוד לתקנות לפי סעיף 42(א)(1) לחוק או לא פעל לקבלת אישור בטיחות בניגוד לתקנות לפי סעיפים 42(א)(1) ו-48(ג) לחוק;</w:t>
      </w:r>
    </w:p>
    <w:p w:rsidR="00856C09" w:rsidRDefault="00856C09" w:rsidP="00856C0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קיים הוראות בכל הנוגע לבטיחות אש להצלה לגבי אופן החזקתם של נכסים, לרבות תחזוקת יערות וחורשים, והכל בניגוד לתקנות לפי סעיפים 42(א)(2) לחוק;</w:t>
      </w:r>
    </w:p>
    <w:p w:rsidR="00856C09" w:rsidRDefault="00856C09" w:rsidP="00856C0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קיים כללי התנהגות שעניינם בטיחות אש והצלה בניגוד לתקנות לפי סעיף 42(א)(3) לחוק;</w:t>
      </w:r>
    </w:p>
    <w:p w:rsidR="00856C09" w:rsidRDefault="00856C09" w:rsidP="00856C0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לא העסיק ממונה בטיחות אש והצלה בעסק, במוסד או בארגון בניגוד לתקנות לפי סעיף 42(א)(4) לחוק או העסיקו בניגוד לדרישות שנקבעו בתקנות כאמור;</w:t>
      </w:r>
    </w:p>
    <w:p w:rsidR="00856C09" w:rsidRDefault="00856C09" w:rsidP="00856C09">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לא ערך פעולות הדרכה ותרגול בנושאי בטיחות אש והצלה בעסק, במוסד או בארגון בניגוד לתקנות לפי סעיף 42(א)(5) לחוק או ערך פעולות כאמור בניגוד לדרישות שנקבעו בתקנות כאמור;</w:t>
      </w:r>
    </w:p>
    <w:p w:rsidR="00856C09" w:rsidRDefault="00856C09" w:rsidP="00856C0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נקט אמצעים בעניין בטיחות אש והצלה בניגוד לצו מיוחד שנתן לו הנציב לפי סעיף 43 לחוק;</w:t>
      </w:r>
    </w:p>
    <w:p w:rsidR="00856C09" w:rsidRDefault="00856C09" w:rsidP="00856C0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קיים הוראות בטיחות אש והצלה ביערות וחורשים, ובשטחים המפורטים בסעיף 42(ב)(1)(א) עד (ג) לחוק בניגוד לכללים שקבע הנציב לפי סעיף 44 לחוק;</w:t>
      </w:r>
    </w:p>
    <w:p w:rsidR="00856C09" w:rsidRDefault="00856C09" w:rsidP="00856C0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בתחום מועצה אזורית, בתחום מועצה מקומית, ובמתקן, הפר חובת אספקת מים לצורכי טיפול באירוע כבאות והצלה, לא התקין צנרת ומיתקנים לאספקת מים או הפר חובת אספקת מים לברזי כיבוי, והכל בניגוד להוראות התקנות לפי סעיף 46 לחוק.</w:t>
      </w:r>
    </w:p>
    <w:p w:rsidR="00856C09" w:rsidRDefault="00856C09" w:rsidP="00856C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הייתה העבירה שנעברה לפי סעיף קטן (א) עבירה נמשכת, רשאי בית המשפט להטיל קנס נוסף, בשיעור של חמישה אחוזים מסכום הקנס הקבוע לאותה העבירה, לכל יום שבו נמשכת העבירה מעבר לתקופה שנקבעה בדרישה לתיקון ליקויים שנמסרה על ידי מפקח לפי סעיף 50 לחוק או בצו מיוחד שהוציא הנציב לפי סעיף 43 לחוק.</w:t>
      </w:r>
    </w:p>
    <w:p w:rsidR="00856C09" w:rsidRDefault="00856C09" w:rsidP="00856C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נעברה עבירה לפי סעיף קטן (א) בידי תאגיד, דינו </w:t>
      </w:r>
      <w:r>
        <w:rPr>
          <w:rStyle w:val="default"/>
          <w:rFonts w:cs="FrankRuehl"/>
          <w:rtl/>
        </w:rPr>
        <w:t>–</w:t>
      </w:r>
      <w:r>
        <w:rPr>
          <w:rStyle w:val="default"/>
          <w:rFonts w:cs="FrankRuehl" w:hint="cs"/>
          <w:rtl/>
        </w:rPr>
        <w:t xml:space="preserve"> כפל הקנס הקבוע לעבירה.</w:t>
      </w:r>
    </w:p>
    <w:p w:rsidR="00C76A7D" w:rsidRDefault="00C76A7D" w:rsidP="00856C09">
      <w:pPr>
        <w:pStyle w:val="P00"/>
        <w:spacing w:before="72"/>
        <w:ind w:left="0" w:right="1134"/>
        <w:rPr>
          <w:rStyle w:val="default"/>
          <w:rFonts w:cs="FrankRuehl" w:hint="cs"/>
          <w:rtl/>
        </w:rPr>
      </w:pPr>
      <w:bookmarkStart w:id="18" w:name="Seif18"/>
      <w:bookmarkEnd w:id="18"/>
      <w:r>
        <w:rPr>
          <w:rFonts w:cs="Miriam"/>
          <w:lang w:val="he-IL"/>
        </w:rPr>
        <w:pict>
          <v:rect id="_x0000_s1796" style="position:absolute;left:0;text-align:left;margin-left:464.35pt;margin-top:7.1pt;width:75.05pt;height:20.7pt;z-index:251659776" o:allowincell="f" filled="f" stroked="f" strokecolor="lime" strokeweight=".25pt">
            <v:textbox style="mso-next-textbox:#_x0000_s1796" inset="0,0,0,0">
              <w:txbxContent>
                <w:p w:rsidR="00C76A7D" w:rsidRDefault="00856C09" w:rsidP="00C76A7D">
                  <w:pPr>
                    <w:pStyle w:val="a7"/>
                    <w:rPr>
                      <w:rFonts w:hint="cs"/>
                      <w:noProof/>
                      <w:rtl/>
                    </w:rPr>
                  </w:pPr>
                  <w:r>
                    <w:rPr>
                      <w:rFonts w:hint="cs"/>
                      <w:rtl/>
                    </w:rPr>
                    <w:t>עבירה בקשר לתחקיר מבצעי</w:t>
                  </w:r>
                </w:p>
              </w:txbxContent>
            </v:textbox>
            <w10:anchorlock/>
          </v:rect>
        </w:pict>
      </w:r>
      <w:r>
        <w:rPr>
          <w:rStyle w:val="big-number"/>
          <w:rFonts w:cs="Miriam" w:hint="cs"/>
          <w:rtl/>
        </w:rPr>
        <w:t>1</w:t>
      </w:r>
      <w:r w:rsidR="00856C09">
        <w:rPr>
          <w:rStyle w:val="big-number"/>
          <w:rFonts w:cs="Miriam" w:hint="cs"/>
          <w:rtl/>
        </w:rPr>
        <w:t>8</w:t>
      </w:r>
      <w:r>
        <w:rPr>
          <w:rStyle w:val="default"/>
          <w:rFonts w:cs="FrankRuehl"/>
          <w:rtl/>
        </w:rPr>
        <w:t>.</w:t>
      </w:r>
      <w:r>
        <w:rPr>
          <w:rStyle w:val="default"/>
          <w:rFonts w:cs="FrankRuehl"/>
          <w:rtl/>
        </w:rPr>
        <w:tab/>
      </w:r>
      <w:r w:rsidR="00856C09">
        <w:rPr>
          <w:rStyle w:val="default"/>
          <w:rFonts w:cs="FrankRuehl" w:hint="cs"/>
          <w:rtl/>
        </w:rPr>
        <w:t xml:space="preserve">העושה אחת מאלה, בניגוד להוראות סעיף 72 לחוק, דינו </w:t>
      </w:r>
      <w:r w:rsidR="00856C09">
        <w:rPr>
          <w:rStyle w:val="default"/>
          <w:rFonts w:cs="FrankRuehl"/>
          <w:rtl/>
        </w:rPr>
        <w:t>–</w:t>
      </w:r>
      <w:r w:rsidR="00856C09">
        <w:rPr>
          <w:rStyle w:val="default"/>
          <w:rFonts w:cs="FrankRuehl" w:hint="cs"/>
          <w:rtl/>
        </w:rPr>
        <w:t xml:space="preserve"> מאסר שישה חודשים:</w:t>
      </w:r>
    </w:p>
    <w:p w:rsidR="00856C09" w:rsidRDefault="00856C09" w:rsidP="00856C0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גילה דבר מחומר תחקיר או עשה שימוש בחומר תחקיר שלא למטרה שלשמה נמסר לו;</w:t>
      </w:r>
    </w:p>
    <w:p w:rsidR="00856C09" w:rsidRDefault="00856C09" w:rsidP="00856C0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לא פעל בהתאם להוראות הרשות בעניין שמירת סודיות חומר תחקיר.</w:t>
      </w:r>
    </w:p>
    <w:p w:rsidR="00C76A7D" w:rsidRDefault="00C76A7D" w:rsidP="00856C09">
      <w:pPr>
        <w:pStyle w:val="P00"/>
        <w:spacing w:before="72"/>
        <w:ind w:left="0" w:right="1134"/>
        <w:rPr>
          <w:rStyle w:val="default"/>
          <w:rFonts w:cs="FrankRuehl" w:hint="cs"/>
          <w:rtl/>
        </w:rPr>
      </w:pPr>
      <w:bookmarkStart w:id="19" w:name="Seif19"/>
      <w:bookmarkEnd w:id="19"/>
      <w:r>
        <w:rPr>
          <w:rFonts w:cs="Miriam"/>
          <w:lang w:val="he-IL"/>
        </w:rPr>
        <w:pict>
          <v:rect id="_x0000_s1797" style="position:absolute;left:0;text-align:left;margin-left:464.35pt;margin-top:7.1pt;width:75.05pt;height:17.6pt;z-index:251660800" o:allowincell="f" filled="f" stroked="f" strokecolor="lime" strokeweight=".25pt">
            <v:textbox style="mso-next-textbox:#_x0000_s1797" inset="0,0,0,0">
              <w:txbxContent>
                <w:p w:rsidR="00C76A7D" w:rsidRDefault="00856C09" w:rsidP="00C76A7D">
                  <w:pPr>
                    <w:pStyle w:val="a7"/>
                    <w:rPr>
                      <w:rFonts w:hint="cs"/>
                      <w:noProof/>
                      <w:rtl/>
                    </w:rPr>
                  </w:pPr>
                  <w:r>
                    <w:rPr>
                      <w:rFonts w:hint="cs"/>
                      <w:rtl/>
                    </w:rPr>
                    <w:t>עבירה שהשיגה טובת הנאה</w:t>
                  </w:r>
                </w:p>
              </w:txbxContent>
            </v:textbox>
            <w10:anchorlock/>
          </v:rect>
        </w:pict>
      </w:r>
      <w:r>
        <w:rPr>
          <w:rStyle w:val="big-number"/>
          <w:rFonts w:cs="Miriam" w:hint="cs"/>
          <w:rtl/>
        </w:rPr>
        <w:t>1</w:t>
      </w:r>
      <w:r w:rsidR="00856C09">
        <w:rPr>
          <w:rStyle w:val="big-number"/>
          <w:rFonts w:cs="Miriam" w:hint="cs"/>
          <w:rtl/>
        </w:rPr>
        <w:t>9</w:t>
      </w:r>
      <w:r>
        <w:rPr>
          <w:rStyle w:val="default"/>
          <w:rFonts w:cs="FrankRuehl"/>
          <w:rtl/>
        </w:rPr>
        <w:t>.</w:t>
      </w:r>
      <w:r>
        <w:rPr>
          <w:rStyle w:val="default"/>
          <w:rFonts w:cs="FrankRuehl"/>
          <w:rtl/>
        </w:rPr>
        <w:tab/>
      </w:r>
      <w:r w:rsidR="00856C09">
        <w:rPr>
          <w:rStyle w:val="default"/>
          <w:rFonts w:cs="FrankRuehl" w:hint="cs"/>
          <w:rtl/>
        </w:rPr>
        <w:t xml:space="preserve">עבר אדם עבירה לפי החוק, שכתוצאה ממנה השיג טובת הנאה או רווח, לעצמו או לאחר, רשאי בית המשפט להטיל עליו קנס בשיעור טובת ההנאה או הרווח שהשיג כאמור, נוסף על כל עונש אחר; לעניין סעיף זה, "טובת הנאה" </w:t>
      </w:r>
      <w:r w:rsidR="00856C09">
        <w:rPr>
          <w:rStyle w:val="default"/>
          <w:rFonts w:cs="FrankRuehl"/>
          <w:rtl/>
        </w:rPr>
        <w:t>–</w:t>
      </w:r>
      <w:r w:rsidR="00856C09">
        <w:rPr>
          <w:rStyle w:val="default"/>
          <w:rFonts w:cs="FrankRuehl" w:hint="cs"/>
          <w:rtl/>
        </w:rPr>
        <w:t xml:space="preserve"> לרבות הוצאה שנחסכה.</w:t>
      </w:r>
    </w:p>
    <w:p w:rsidR="00C76A7D" w:rsidRDefault="00C76A7D" w:rsidP="00856C09">
      <w:pPr>
        <w:pStyle w:val="P00"/>
        <w:spacing w:before="72"/>
        <w:ind w:left="0" w:right="1134"/>
        <w:rPr>
          <w:rStyle w:val="default"/>
          <w:rFonts w:cs="FrankRuehl" w:hint="cs"/>
          <w:rtl/>
        </w:rPr>
      </w:pPr>
      <w:bookmarkStart w:id="20" w:name="Seif20"/>
      <w:bookmarkEnd w:id="20"/>
      <w:r>
        <w:rPr>
          <w:rFonts w:cs="Miriam"/>
          <w:lang w:val="he-IL"/>
        </w:rPr>
        <w:pict>
          <v:rect id="_x0000_s1798" style="position:absolute;left:0;text-align:left;margin-left:464.35pt;margin-top:7.1pt;width:75.05pt;height:12.55pt;z-index:251661824" o:allowincell="f" filled="f" stroked="f" strokecolor="lime" strokeweight=".25pt">
            <v:textbox style="mso-next-textbox:#_x0000_s1798" inset="0,0,0,0">
              <w:txbxContent>
                <w:p w:rsidR="00C76A7D" w:rsidRDefault="00856C09" w:rsidP="00C76A7D">
                  <w:pPr>
                    <w:pStyle w:val="a7"/>
                    <w:rPr>
                      <w:rFonts w:hint="cs"/>
                      <w:noProof/>
                      <w:rtl/>
                    </w:rPr>
                  </w:pPr>
                  <w:r>
                    <w:rPr>
                      <w:rFonts w:hint="cs"/>
                      <w:rtl/>
                    </w:rPr>
                    <w:t>הפרת צו</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856C09">
        <w:rPr>
          <w:rStyle w:val="default"/>
          <w:rFonts w:cs="FrankRuehl" w:hint="cs"/>
          <w:rtl/>
        </w:rPr>
        <w:t xml:space="preserve">מי שאינו מקיים צו הפסקה מינהלי או צו הפסקה שיפוטי, דינו </w:t>
      </w:r>
      <w:r w:rsidR="00856C09">
        <w:rPr>
          <w:rStyle w:val="default"/>
          <w:rFonts w:cs="FrankRuehl"/>
          <w:rtl/>
        </w:rPr>
        <w:t>–</w:t>
      </w:r>
      <w:r w:rsidR="00856C09">
        <w:rPr>
          <w:rStyle w:val="default"/>
          <w:rFonts w:cs="FrankRuehl" w:hint="cs"/>
          <w:rtl/>
        </w:rPr>
        <w:t xml:space="preserve"> מאסר שנתיים או קנס כאמור בסעיף 61(א)(4) לחוק העונשין, וכן קנס נוסף כאמור בסעיף 61(ג) לחוק העונשין או מאסר שבעה ימים לכל יום שבו נמשכת ההפרה אחרי המצאה הצו.</w:t>
      </w:r>
    </w:p>
    <w:p w:rsidR="00C76A7D" w:rsidRDefault="00C76A7D" w:rsidP="00856C09">
      <w:pPr>
        <w:pStyle w:val="P00"/>
        <w:spacing w:before="72"/>
        <w:ind w:left="0" w:right="1134"/>
        <w:rPr>
          <w:rStyle w:val="default"/>
          <w:rFonts w:cs="FrankRuehl" w:hint="cs"/>
          <w:rtl/>
        </w:rPr>
      </w:pPr>
      <w:bookmarkStart w:id="21" w:name="Seif21"/>
      <w:bookmarkEnd w:id="21"/>
      <w:r>
        <w:rPr>
          <w:rFonts w:cs="Miriam"/>
          <w:lang w:val="he-IL"/>
        </w:rPr>
        <w:pict>
          <v:rect id="_x0000_s1799" style="position:absolute;left:0;text-align:left;margin-left:464.35pt;margin-top:7.1pt;width:75.05pt;height:15.75pt;z-index:251662848" o:allowincell="f" filled="f" stroked="f" strokecolor="lime" strokeweight=".25pt">
            <v:textbox style="mso-next-textbox:#_x0000_s1799" inset="0,0,0,0">
              <w:txbxContent>
                <w:p w:rsidR="00C76A7D" w:rsidRDefault="00856C09" w:rsidP="00C76A7D">
                  <w:pPr>
                    <w:pStyle w:val="a7"/>
                    <w:rPr>
                      <w:rFonts w:hint="cs"/>
                      <w:noProof/>
                      <w:rtl/>
                    </w:rPr>
                  </w:pPr>
                  <w:r>
                    <w:rPr>
                      <w:rFonts w:hint="cs"/>
                      <w:rtl/>
                    </w:rPr>
                    <w:t>אחריות נושאי משרה בתאגיד</w:t>
                  </w:r>
                </w:p>
              </w:txbxContent>
            </v:textbox>
            <w10:anchorlock/>
          </v:rect>
        </w:pict>
      </w:r>
      <w:r>
        <w:rPr>
          <w:rStyle w:val="big-number"/>
          <w:rFonts w:cs="Miriam" w:hint="cs"/>
          <w:rtl/>
        </w:rPr>
        <w:t>2</w:t>
      </w:r>
      <w:r w:rsidR="00856C09">
        <w:rPr>
          <w:rStyle w:val="big-number"/>
          <w:rFonts w:cs="Miriam" w:hint="cs"/>
          <w:rtl/>
        </w:rPr>
        <w:t>1</w:t>
      </w:r>
      <w:r>
        <w:rPr>
          <w:rStyle w:val="default"/>
          <w:rFonts w:cs="FrankRuehl"/>
          <w:rtl/>
        </w:rPr>
        <w:t>.</w:t>
      </w:r>
      <w:r>
        <w:rPr>
          <w:rStyle w:val="default"/>
          <w:rFonts w:cs="FrankRuehl"/>
          <w:rtl/>
        </w:rPr>
        <w:tab/>
      </w:r>
      <w:r w:rsidR="00856C09">
        <w:rPr>
          <w:rStyle w:val="default"/>
          <w:rFonts w:cs="FrankRuehl" w:hint="cs"/>
          <w:rtl/>
        </w:rPr>
        <w:t>(א)</w:t>
      </w:r>
      <w:r w:rsidR="00856C09">
        <w:rPr>
          <w:rStyle w:val="default"/>
          <w:rFonts w:cs="FrankRuehl" w:hint="cs"/>
          <w:rtl/>
        </w:rPr>
        <w:tab/>
        <w:t xml:space="preserve">נושא משרה בתאגיד חייב לפקח ולעשות כל שניתן למניעת עבירות לפי סעיף 76 לחוק בידי תאגיד או בידי עובד מעובדיו; המפר הוראה זו, דינו </w:t>
      </w:r>
      <w:r w:rsidR="00856C09">
        <w:rPr>
          <w:rStyle w:val="default"/>
          <w:rFonts w:cs="FrankRuehl"/>
          <w:rtl/>
        </w:rPr>
        <w:t>–</w:t>
      </w:r>
      <w:r w:rsidR="00856C09">
        <w:rPr>
          <w:rStyle w:val="default"/>
          <w:rFonts w:cs="FrankRuehl" w:hint="cs"/>
          <w:rtl/>
        </w:rPr>
        <w:t xml:space="preserve"> קנס כאמור בסעיף 61(א)(3) לחוק העונשין; לעניין סעיף זה, "נושא משרה" </w:t>
      </w:r>
      <w:r w:rsidR="00856C09">
        <w:rPr>
          <w:rStyle w:val="default"/>
          <w:rFonts w:cs="FrankRuehl"/>
          <w:rtl/>
        </w:rPr>
        <w:t>–</w:t>
      </w:r>
      <w:r w:rsidR="00856C09">
        <w:rPr>
          <w:rStyle w:val="default"/>
          <w:rFonts w:cs="FrankRuehl" w:hint="cs"/>
          <w:rtl/>
        </w:rPr>
        <w:t xml:space="preserve"> מנהל פעיל בתאגיד, שותף למעט שותף מוגבל, או פקיד האחראי מטעם התאגיד על התחום שבו בוצעה העבירה.</w:t>
      </w:r>
    </w:p>
    <w:p w:rsidR="00856C09" w:rsidRDefault="00856C09" w:rsidP="00856C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76 לחוק בידי תאגיד או בידי עובד מעובדיו, חזקה היא כי נושא משרה בתאגיד הפר את חובתו לפי סעיף קטן (א), אלא אם כן הוכיח כי עשה כל שניתן כדי למלא את חובתו.</w:t>
      </w:r>
    </w:p>
    <w:p w:rsidR="00856C09" w:rsidRPr="00856C09" w:rsidRDefault="00856C09" w:rsidP="00856C09">
      <w:pPr>
        <w:pStyle w:val="medium2-header"/>
        <w:keepLines w:val="0"/>
        <w:spacing w:before="72"/>
        <w:ind w:left="0" w:right="1134"/>
        <w:rPr>
          <w:rFonts w:cs="FrankRuehl" w:hint="cs"/>
          <w:noProof/>
          <w:rtl/>
        </w:rPr>
      </w:pPr>
      <w:bookmarkStart w:id="22" w:name="med1"/>
      <w:bookmarkEnd w:id="22"/>
      <w:r w:rsidRPr="00856C09">
        <w:rPr>
          <w:rFonts w:cs="FrankRuehl" w:hint="cs"/>
          <w:noProof/>
          <w:rtl/>
        </w:rPr>
        <w:t>תחולת החוק על צה"ל</w:t>
      </w:r>
    </w:p>
    <w:p w:rsidR="00C76A7D" w:rsidRDefault="00C76A7D" w:rsidP="00856C09">
      <w:pPr>
        <w:pStyle w:val="P00"/>
        <w:spacing w:before="72"/>
        <w:ind w:left="0" w:right="1134"/>
        <w:rPr>
          <w:rStyle w:val="default"/>
          <w:rFonts w:cs="FrankRuehl" w:hint="cs"/>
          <w:rtl/>
        </w:rPr>
      </w:pPr>
      <w:bookmarkStart w:id="23" w:name="Seif22"/>
      <w:bookmarkEnd w:id="23"/>
      <w:r>
        <w:rPr>
          <w:rFonts w:cs="Miriam"/>
          <w:lang w:val="he-IL"/>
        </w:rPr>
        <w:pict>
          <v:rect id="_x0000_s1800" style="position:absolute;left:0;text-align:left;margin-left:464.35pt;margin-top:7.1pt;width:75.05pt;height:24.6pt;z-index:251663872" o:allowincell="f" filled="f" stroked="f" strokecolor="lime" strokeweight=".25pt">
            <v:textbox style="mso-next-textbox:#_x0000_s1800" inset="0,0,0,0">
              <w:txbxContent>
                <w:p w:rsidR="00C76A7D" w:rsidRDefault="00856C09" w:rsidP="00C76A7D">
                  <w:pPr>
                    <w:pStyle w:val="a7"/>
                    <w:rPr>
                      <w:rFonts w:hint="cs"/>
                      <w:noProof/>
                      <w:rtl/>
                    </w:rPr>
                  </w:pPr>
                  <w:r>
                    <w:rPr>
                      <w:rFonts w:hint="cs"/>
                      <w:rtl/>
                    </w:rPr>
                    <w:t>תחולת החוק על צה"ל</w:t>
                  </w:r>
                </w:p>
              </w:txbxContent>
            </v:textbox>
            <w10:anchorlock/>
          </v:rect>
        </w:pict>
      </w:r>
      <w:r>
        <w:rPr>
          <w:rStyle w:val="big-number"/>
          <w:rFonts w:cs="Miriam" w:hint="cs"/>
          <w:rtl/>
        </w:rPr>
        <w:t>2</w:t>
      </w:r>
      <w:r w:rsidR="00856C09">
        <w:rPr>
          <w:rStyle w:val="big-number"/>
          <w:rFonts w:cs="Miriam" w:hint="cs"/>
          <w:rtl/>
        </w:rPr>
        <w:t>2</w:t>
      </w:r>
      <w:r>
        <w:rPr>
          <w:rStyle w:val="default"/>
          <w:rFonts w:cs="FrankRuehl"/>
          <w:rtl/>
        </w:rPr>
        <w:t>.</w:t>
      </w:r>
      <w:r>
        <w:rPr>
          <w:rStyle w:val="default"/>
          <w:rFonts w:cs="FrankRuehl"/>
          <w:rtl/>
        </w:rPr>
        <w:tab/>
      </w:r>
      <w:r w:rsidR="00856C09">
        <w:rPr>
          <w:rStyle w:val="default"/>
          <w:rFonts w:cs="FrankRuehl" w:hint="cs"/>
          <w:rtl/>
        </w:rPr>
        <w:t>(א)</w:t>
      </w:r>
      <w:r w:rsidR="00856C09">
        <w:rPr>
          <w:rStyle w:val="default"/>
          <w:rFonts w:cs="FrankRuehl" w:hint="cs"/>
          <w:rtl/>
        </w:rPr>
        <w:tab/>
        <w:t>על אף האמור בסעיף 84 לחוק, סמכויות עובדי הרשות ומתנדביה לא יופעלו כלפי צה"ל אלא בהסכמת המפקד הצבאי של האזור או לשם טיפול באירוע כבאות והצלה ובאירוע חומרים מסוכנים, כהגדרתו בסימן ב' פרק ד' לחוק, והכל בכפוף לסייגים המנויים בסעיפים 85-92 לחוק.</w:t>
      </w:r>
    </w:p>
    <w:p w:rsidR="00856C09" w:rsidRDefault="00856C09" w:rsidP="00856C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שלעיל, אינן באות לגרוע מן הסמכויות של עובדי הרשות ומתנדביה בתחומי צווי תפיסה צבאיים בהם הוחלה מערכת הנחיות בהתאם לצו בדבר מתן היתרים לעבודות בשטחים תפוסים לצרכים צבאיים (יהודה והשומרון) (מס' 997), התשמ"ב-1982.</w:t>
      </w:r>
    </w:p>
    <w:p w:rsidR="00856C09" w:rsidRPr="00856C09" w:rsidRDefault="00856C09" w:rsidP="00856C09">
      <w:pPr>
        <w:pStyle w:val="medium2-header"/>
        <w:keepLines w:val="0"/>
        <w:spacing w:before="72"/>
        <w:ind w:left="0" w:right="1134"/>
        <w:rPr>
          <w:rFonts w:cs="FrankRuehl" w:hint="cs"/>
          <w:noProof/>
          <w:rtl/>
        </w:rPr>
      </w:pPr>
      <w:bookmarkStart w:id="24" w:name="med2"/>
      <w:bookmarkEnd w:id="24"/>
      <w:r w:rsidRPr="00856C09">
        <w:rPr>
          <w:rFonts w:cs="FrankRuehl" w:hint="cs"/>
          <w:noProof/>
          <w:rtl/>
        </w:rPr>
        <w:t>שונות</w:t>
      </w:r>
    </w:p>
    <w:p w:rsidR="00C76A7D" w:rsidRDefault="00C76A7D" w:rsidP="00B70052">
      <w:pPr>
        <w:pStyle w:val="P00"/>
        <w:spacing w:before="72"/>
        <w:ind w:left="0" w:right="1134"/>
        <w:rPr>
          <w:rStyle w:val="default"/>
          <w:rFonts w:cs="FrankRuehl" w:hint="cs"/>
          <w:rtl/>
        </w:rPr>
      </w:pPr>
      <w:bookmarkStart w:id="25" w:name="Seif23"/>
      <w:bookmarkEnd w:id="25"/>
      <w:r>
        <w:rPr>
          <w:rFonts w:cs="Miriam"/>
          <w:lang w:val="he-IL"/>
        </w:rPr>
        <w:pict>
          <v:rect id="_x0000_s1801" style="position:absolute;left:0;text-align:left;margin-left:464.35pt;margin-top:7.1pt;width:75.05pt;height:24.5pt;z-index:251664896" o:allowincell="f" filled="f" stroked="f" strokecolor="lime" strokeweight=".25pt">
            <v:textbox style="mso-next-textbox:#_x0000_s1801" inset="0,0,0,0">
              <w:txbxContent>
                <w:p w:rsidR="00C76A7D" w:rsidRDefault="00856C09" w:rsidP="00C76A7D">
                  <w:pPr>
                    <w:pStyle w:val="a7"/>
                    <w:rPr>
                      <w:rFonts w:hint="cs"/>
                      <w:noProof/>
                      <w:rtl/>
                    </w:rPr>
                  </w:pPr>
                  <w:r>
                    <w:rPr>
                      <w:rFonts w:hint="cs"/>
                      <w:rtl/>
                    </w:rPr>
                    <w:t>עיון חוזר וערר על הקצאת כבאים בתשלום</w:t>
                  </w:r>
                </w:p>
              </w:txbxContent>
            </v:textbox>
            <w10:anchorlock/>
          </v:rect>
        </w:pict>
      </w:r>
      <w:r>
        <w:rPr>
          <w:rStyle w:val="big-number"/>
          <w:rFonts w:cs="Miriam" w:hint="cs"/>
          <w:rtl/>
        </w:rPr>
        <w:t>2</w:t>
      </w:r>
      <w:r w:rsidR="00856C09">
        <w:rPr>
          <w:rStyle w:val="big-number"/>
          <w:rFonts w:cs="Miriam" w:hint="cs"/>
          <w:rtl/>
        </w:rPr>
        <w:t>3</w:t>
      </w:r>
      <w:r>
        <w:rPr>
          <w:rStyle w:val="default"/>
          <w:rFonts w:cs="FrankRuehl"/>
          <w:rtl/>
        </w:rPr>
        <w:t>.</w:t>
      </w:r>
      <w:r>
        <w:rPr>
          <w:rStyle w:val="default"/>
          <w:rFonts w:cs="FrankRuehl"/>
          <w:rtl/>
        </w:rPr>
        <w:tab/>
      </w:r>
      <w:r w:rsidR="00B70052">
        <w:rPr>
          <w:rStyle w:val="default"/>
          <w:rFonts w:cs="FrankRuehl" w:hint="cs"/>
          <w:rtl/>
        </w:rPr>
        <w:t>(א)</w:t>
      </w:r>
      <w:r w:rsidR="00B70052">
        <w:rPr>
          <w:rStyle w:val="default"/>
          <w:rFonts w:cs="FrankRuehl" w:hint="cs"/>
          <w:rtl/>
        </w:rPr>
        <w:tab/>
        <w:t>על אף האמור בסעיף 38(ג) לחוק, ועדת הערר שתדון בערר שיוגש על החלטות הקצין המוסמך כהגדרתו בסעיף 36 לחוק, תורכב משלושה חברים ותפעל בהתאם לסדרי הדין שנקבעו בעניין ועדת ערר שהוקמה לפי סעיף 38 לחוק במדינת ישראל.</w:t>
      </w:r>
    </w:p>
    <w:p w:rsidR="00B70052" w:rsidRDefault="00B70052" w:rsidP="00B700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ועדת הערר באזור יהיו הנציב או סגנו ושני נציגים שמונו כחברי ועדה במדינת ישראל.</w:t>
      </w:r>
    </w:p>
    <w:p w:rsidR="00B70052" w:rsidRDefault="00B70052" w:rsidP="00B7005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38(ו) לחוק, החלטת ועדת הערר ביחס לפעולה או אירוע בתחומי מועצות מקומיות, מועצות אזוריות או מתקן ניתנת לערעור בפני בית המשפט לעניינים מקומיים של ערכאת ערעור.</w:t>
      </w:r>
    </w:p>
    <w:p w:rsidR="00C76A7D" w:rsidRDefault="00C76A7D" w:rsidP="007610D7">
      <w:pPr>
        <w:pStyle w:val="P00"/>
        <w:spacing w:before="72"/>
        <w:ind w:left="0" w:right="1134"/>
        <w:rPr>
          <w:rStyle w:val="default"/>
          <w:rFonts w:cs="FrankRuehl" w:hint="cs"/>
          <w:rtl/>
        </w:rPr>
      </w:pPr>
      <w:bookmarkStart w:id="26" w:name="Seif24"/>
      <w:bookmarkEnd w:id="26"/>
      <w:r>
        <w:rPr>
          <w:rFonts w:cs="Miriam"/>
          <w:lang w:val="he-IL"/>
        </w:rPr>
        <w:pict>
          <v:rect id="_x0000_s1802" style="position:absolute;left:0;text-align:left;margin-left:464.35pt;margin-top:7.1pt;width:75.05pt;height:12.55pt;z-index:251665920" o:allowincell="f" filled="f" stroked="f" strokecolor="lime" strokeweight=".25pt">
            <v:textbox style="mso-next-textbox:#_x0000_s1802" inset="0,0,0,0">
              <w:txbxContent>
                <w:p w:rsidR="00C76A7D" w:rsidRDefault="00B70052" w:rsidP="00C76A7D">
                  <w:pPr>
                    <w:pStyle w:val="a7"/>
                    <w:rPr>
                      <w:rFonts w:hint="cs"/>
                      <w:noProof/>
                      <w:rtl/>
                    </w:rPr>
                  </w:pPr>
                  <w:r>
                    <w:rPr>
                      <w:rFonts w:hint="cs"/>
                      <w:rtl/>
                    </w:rPr>
                    <w:t>פירוק איגודי ערים</w:t>
                  </w:r>
                </w:p>
              </w:txbxContent>
            </v:textbox>
            <w10:anchorlock/>
          </v:rect>
        </w:pict>
      </w:r>
      <w:r>
        <w:rPr>
          <w:rStyle w:val="big-number"/>
          <w:rFonts w:cs="Miriam" w:hint="cs"/>
          <w:rtl/>
        </w:rPr>
        <w:t>2</w:t>
      </w:r>
      <w:r w:rsidR="00B70052">
        <w:rPr>
          <w:rStyle w:val="big-number"/>
          <w:rFonts w:cs="Miriam" w:hint="cs"/>
          <w:rtl/>
        </w:rPr>
        <w:t>4</w:t>
      </w:r>
      <w:r>
        <w:rPr>
          <w:rStyle w:val="default"/>
          <w:rFonts w:cs="FrankRuehl"/>
          <w:rtl/>
        </w:rPr>
        <w:t>.</w:t>
      </w:r>
      <w:r>
        <w:rPr>
          <w:rStyle w:val="default"/>
          <w:rFonts w:cs="FrankRuehl"/>
          <w:rtl/>
        </w:rPr>
        <w:tab/>
      </w:r>
      <w:r w:rsidR="007610D7">
        <w:rPr>
          <w:rStyle w:val="default"/>
          <w:rFonts w:cs="FrankRuehl" w:hint="cs"/>
          <w:rtl/>
        </w:rPr>
        <w:t>(א)</w:t>
      </w:r>
      <w:r w:rsidR="007610D7">
        <w:rPr>
          <w:rStyle w:val="default"/>
          <w:rFonts w:cs="FrankRuehl" w:hint="cs"/>
          <w:rtl/>
        </w:rPr>
        <w:tab/>
        <w:t xml:space="preserve">הוראות פרק ט' לחוק יחולו, בשינויים המחויבים, על איגודי הערים לכבאות אשר הוקמו מכוח סעיפים 75כג-75מ לתקנון המועצות המקומיות (להלן בפרק זה </w:t>
      </w:r>
      <w:r w:rsidR="007610D7">
        <w:rPr>
          <w:rStyle w:val="default"/>
          <w:rFonts w:cs="FrankRuehl"/>
          <w:rtl/>
        </w:rPr>
        <w:t>–</w:t>
      </w:r>
      <w:r w:rsidR="007610D7">
        <w:rPr>
          <w:rStyle w:val="default"/>
          <w:rFonts w:cs="FrankRuehl" w:hint="cs"/>
          <w:rtl/>
        </w:rPr>
        <w:t xml:space="preserve"> איגוד ערים מקומי לכבאות).</w:t>
      </w:r>
    </w:p>
    <w:p w:rsidR="007610D7" w:rsidRDefault="007610D7" w:rsidP="00863B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63B63">
        <w:rPr>
          <w:rStyle w:val="default"/>
          <w:rFonts w:cs="FrankRuehl" w:hint="cs"/>
          <w:rtl/>
        </w:rPr>
        <w:t>עם כניסת הצו לתוקף יבוטל הצו בדבר הקמת איגוד רשויות מקומיות לשירותי כבאות (יהודה והשומרון), התשנ"א-1991, יבוטלו איגודו ערים מקומיים לכבאות ויחדלו להיות אישיות משפטית.</w:t>
      </w:r>
    </w:p>
    <w:p w:rsidR="00863B63" w:rsidRDefault="00863B63" w:rsidP="00863B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3778A">
        <w:rPr>
          <w:rStyle w:val="default"/>
          <w:rFonts w:cs="FrankRuehl" w:hint="cs"/>
          <w:rtl/>
        </w:rPr>
        <w:t>בכל מקום בסעיף 101(א)(4)-(6) לחוק שבו נאמר "שר האוצר" יבוא: "המנהל הכללי של משרד האוצר בישראל".</w:t>
      </w:r>
    </w:p>
    <w:p w:rsidR="00C76A7D" w:rsidRDefault="00C76A7D" w:rsidP="005B37C2">
      <w:pPr>
        <w:pStyle w:val="P00"/>
        <w:spacing w:before="72"/>
        <w:ind w:left="0" w:right="1134"/>
        <w:rPr>
          <w:rStyle w:val="default"/>
          <w:rFonts w:cs="FrankRuehl" w:hint="cs"/>
          <w:rtl/>
        </w:rPr>
      </w:pPr>
      <w:bookmarkStart w:id="27" w:name="Seif25"/>
      <w:bookmarkEnd w:id="27"/>
      <w:r>
        <w:rPr>
          <w:rFonts w:cs="Miriam"/>
          <w:lang w:val="he-IL"/>
        </w:rPr>
        <w:pict>
          <v:rect id="_x0000_s1803" style="position:absolute;left:0;text-align:left;margin-left:464.35pt;margin-top:7.1pt;width:75.05pt;height:18.3pt;z-index:251666944" o:allowincell="f" filled="f" stroked="f" strokecolor="lime" strokeweight=".25pt">
            <v:textbox style="mso-next-textbox:#_x0000_s1803" inset="0,0,0,0">
              <w:txbxContent>
                <w:p w:rsidR="00C76A7D" w:rsidRDefault="005B37C2" w:rsidP="00C76A7D">
                  <w:pPr>
                    <w:pStyle w:val="a7"/>
                    <w:rPr>
                      <w:rFonts w:hint="cs"/>
                      <w:noProof/>
                      <w:rtl/>
                    </w:rPr>
                  </w:pPr>
                  <w:r>
                    <w:rPr>
                      <w:rFonts w:hint="cs"/>
                      <w:rtl/>
                    </w:rPr>
                    <w:t>העברת נכסים, חובות והתחייבויות</w:t>
                  </w:r>
                </w:p>
              </w:txbxContent>
            </v:textbox>
            <w10:anchorlock/>
          </v:rect>
        </w:pict>
      </w:r>
      <w:r>
        <w:rPr>
          <w:rStyle w:val="big-number"/>
          <w:rFonts w:cs="Miriam" w:hint="cs"/>
          <w:rtl/>
        </w:rPr>
        <w:t>2</w:t>
      </w:r>
      <w:r w:rsidR="00A3778A">
        <w:rPr>
          <w:rStyle w:val="big-number"/>
          <w:rFonts w:cs="Miriam" w:hint="cs"/>
          <w:rtl/>
        </w:rPr>
        <w:t>5</w:t>
      </w:r>
      <w:r>
        <w:rPr>
          <w:rStyle w:val="default"/>
          <w:rFonts w:cs="FrankRuehl"/>
          <w:rtl/>
        </w:rPr>
        <w:t>.</w:t>
      </w:r>
      <w:r>
        <w:rPr>
          <w:rStyle w:val="default"/>
          <w:rFonts w:cs="FrankRuehl"/>
          <w:rtl/>
        </w:rPr>
        <w:tab/>
      </w:r>
      <w:r w:rsidR="005B37C2">
        <w:rPr>
          <w:rStyle w:val="default"/>
          <w:rFonts w:cs="FrankRuehl" w:hint="cs"/>
          <w:rtl/>
        </w:rPr>
        <w:t>(א)</w:t>
      </w:r>
      <w:r w:rsidR="005B37C2">
        <w:rPr>
          <w:rStyle w:val="default"/>
          <w:rFonts w:cs="FrankRuehl" w:hint="cs"/>
          <w:rtl/>
        </w:rPr>
        <w:tab/>
        <w:t xml:space="preserve">נכסים שהינם זכות במקרקעין או מקרקעין של איגודי ערים מקומיים לכבאות (להלן </w:t>
      </w:r>
      <w:r w:rsidR="005B37C2">
        <w:rPr>
          <w:rStyle w:val="default"/>
          <w:rFonts w:cs="FrankRuehl"/>
          <w:rtl/>
        </w:rPr>
        <w:t>–</w:t>
      </w:r>
      <w:r w:rsidR="005B37C2">
        <w:rPr>
          <w:rStyle w:val="default"/>
          <w:rFonts w:cs="FrankRuehl" w:hint="cs"/>
          <w:rtl/>
        </w:rPr>
        <w:t xml:space="preserve"> נכסי מקרקעין), כמשמעותם בסעיפים 101(א)(1)-(ב) לחוק, יוסבו על שם המשרד לביטחון פנים בישראל, וזאת בתום 45 ימים ממועד החתימה על צו זה, ובלבד שהממונה על הנכסים, כמשמעותו בפרק ט' לחוק, העביר בתום 15 יום ממועד החתימה על הצו, לאיגודי הערים לכבאות באזור את רשימת הנכסים המפורטים ברישא של סעיף קטן זה.</w:t>
      </w:r>
    </w:p>
    <w:p w:rsidR="005B37C2" w:rsidRDefault="005B37C2" w:rsidP="005B37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36502">
        <w:rPr>
          <w:rStyle w:val="default"/>
          <w:rFonts w:cs="FrankRuehl" w:hint="cs"/>
          <w:rtl/>
        </w:rPr>
        <w:t>בכפוף לאמור בסעיף קטן (א) שלעיל, על נכסי איגודי ערים מקומיים לכבאות, בכל הנוגע לנכסי מקרקעין, יחולו הוראות סימן ב' לפרק ט' לחוק.</w:t>
      </w:r>
    </w:p>
    <w:p w:rsidR="00C76A7D" w:rsidRDefault="00C76A7D" w:rsidP="00436502">
      <w:pPr>
        <w:pStyle w:val="P00"/>
        <w:spacing w:before="72"/>
        <w:ind w:left="0" w:right="1134"/>
        <w:rPr>
          <w:rStyle w:val="default"/>
          <w:rFonts w:cs="FrankRuehl" w:hint="cs"/>
          <w:rtl/>
        </w:rPr>
      </w:pPr>
      <w:bookmarkStart w:id="28" w:name="Seif26"/>
      <w:bookmarkEnd w:id="28"/>
      <w:r>
        <w:rPr>
          <w:rFonts w:cs="Miriam"/>
          <w:lang w:val="he-IL"/>
        </w:rPr>
        <w:pict>
          <v:rect id="_x0000_s1804" style="position:absolute;left:0;text-align:left;margin-left:464.35pt;margin-top:7.1pt;width:75.05pt;height:12.55pt;z-index:251667968" o:allowincell="f" filled="f" stroked="f" strokecolor="lime" strokeweight=".25pt">
            <v:textbox style="mso-next-textbox:#_x0000_s1804" inset="0,0,0,0">
              <w:txbxContent>
                <w:p w:rsidR="00C76A7D" w:rsidRDefault="00436502" w:rsidP="00C76A7D">
                  <w:pPr>
                    <w:pStyle w:val="a7"/>
                    <w:rPr>
                      <w:rFonts w:hint="cs"/>
                      <w:noProof/>
                      <w:rtl/>
                    </w:rPr>
                  </w:pPr>
                  <w:r>
                    <w:rPr>
                      <w:rFonts w:hint="cs"/>
                      <w:rtl/>
                    </w:rPr>
                    <w:t>תיקונים עקיפים</w:t>
                  </w:r>
                </w:p>
              </w:txbxContent>
            </v:textbox>
            <w10:anchorlock/>
          </v:rect>
        </w:pict>
      </w:r>
      <w:r>
        <w:rPr>
          <w:rStyle w:val="big-number"/>
          <w:rFonts w:cs="Miriam" w:hint="cs"/>
          <w:rtl/>
        </w:rPr>
        <w:t>2</w:t>
      </w:r>
      <w:r w:rsidR="00436502">
        <w:rPr>
          <w:rStyle w:val="big-number"/>
          <w:rFonts w:cs="Miriam" w:hint="cs"/>
          <w:rtl/>
        </w:rPr>
        <w:t>6</w:t>
      </w:r>
      <w:r>
        <w:rPr>
          <w:rStyle w:val="default"/>
          <w:rFonts w:cs="FrankRuehl"/>
          <w:rtl/>
        </w:rPr>
        <w:t>.</w:t>
      </w:r>
      <w:r>
        <w:rPr>
          <w:rStyle w:val="default"/>
          <w:rFonts w:cs="FrankRuehl"/>
          <w:rtl/>
        </w:rPr>
        <w:tab/>
      </w:r>
      <w:r w:rsidR="00436502">
        <w:rPr>
          <w:rStyle w:val="default"/>
          <w:rFonts w:cs="FrankRuehl" w:hint="cs"/>
          <w:rtl/>
        </w:rPr>
        <w:t>(א)</w:t>
      </w:r>
      <w:r w:rsidR="00436502">
        <w:rPr>
          <w:rStyle w:val="default"/>
          <w:rFonts w:cs="FrankRuehl" w:hint="cs"/>
          <w:rtl/>
        </w:rPr>
        <w:tab/>
        <w:t>סעיפים 75כג-75מ, ו-75מא(3)-(9) לתקנון המועצות המקומיות יימחקו וההוראות שהותקנו מכוחם יבוטלו</w:t>
      </w:r>
      <w:r w:rsidR="007F1450">
        <w:rPr>
          <w:rStyle w:val="default"/>
          <w:rFonts w:cs="FrankRuehl" w:hint="cs"/>
          <w:rtl/>
        </w:rPr>
        <w:t>; הוראה זו תיכנס לתוקף ביום כינון הרשות לכבאות.</w:t>
      </w:r>
    </w:p>
    <w:p w:rsidR="007F1450" w:rsidRDefault="007F1450" w:rsidP="004365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בסעיף 1 לצו הג"א, בהגדרה "גוף הצלה", במקום האמור בסעיף קטן (2) יבוא "הרשות הארצית לכבאות והצלה".</w:t>
      </w:r>
    </w:p>
    <w:p w:rsidR="007F1450" w:rsidRDefault="007F1450" w:rsidP="004365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בסיפא של סעיף 3 לכתב מינוי ועדות תכנון מיוחדות (מועצות מקומיות ואזוריות) (יהודה והשומרון), התשס"ח-2008 יבוא "נציג הרשות הארצית לכבאות והצלה, בעל הכשרה בתחום בטיחות אש והצלה, יוזמן, דרך קבע, לדיוני ועדת התכנון המיוחדת, ותהיה לו דעה מייעצת בעניינים הנוגעים לבטיחות אש והצלה".</w:t>
      </w:r>
    </w:p>
    <w:p w:rsidR="007F1450" w:rsidRDefault="007F1450" w:rsidP="0043650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בחוק רישוי עסקים, התשכ"ח-1968, כפי שתוקפו בפרק ט'1 לתקנון המועצות המקומיות, בכל מקום בו כתובות המילים "השר לביטחון פנים" יבוא "המנהל הכללי של משרד לביטחון פנים.</w:t>
      </w:r>
    </w:p>
    <w:p w:rsidR="00C76A7D" w:rsidRDefault="00C76A7D" w:rsidP="007F1450">
      <w:pPr>
        <w:pStyle w:val="P00"/>
        <w:spacing w:before="72"/>
        <w:ind w:left="0" w:right="1134"/>
        <w:rPr>
          <w:rStyle w:val="default"/>
          <w:rFonts w:cs="FrankRuehl" w:hint="cs"/>
          <w:rtl/>
        </w:rPr>
      </w:pPr>
      <w:bookmarkStart w:id="29" w:name="Seif27"/>
      <w:bookmarkEnd w:id="29"/>
      <w:r>
        <w:rPr>
          <w:rFonts w:cs="Miriam"/>
          <w:lang w:val="he-IL"/>
        </w:rPr>
        <w:pict>
          <v:rect id="_x0000_s1805" style="position:absolute;left:0;text-align:left;margin-left:464.35pt;margin-top:7.1pt;width:75.05pt;height:12.55pt;z-index:251668992" o:allowincell="f" filled="f" stroked="f" strokecolor="lime" strokeweight=".25pt">
            <v:textbox style="mso-next-textbox:#_x0000_s1805" inset="0,0,0,0">
              <w:txbxContent>
                <w:p w:rsidR="00C76A7D" w:rsidRDefault="007F1450" w:rsidP="00C76A7D">
                  <w:pPr>
                    <w:pStyle w:val="a7"/>
                    <w:rPr>
                      <w:rFonts w:hint="cs"/>
                      <w:noProof/>
                      <w:rtl/>
                    </w:rPr>
                  </w:pPr>
                  <w:r>
                    <w:rPr>
                      <w:rFonts w:hint="cs"/>
                      <w:rtl/>
                    </w:rPr>
                    <w:t>תחולת תחיקת משנה</w:t>
                  </w:r>
                </w:p>
              </w:txbxContent>
            </v:textbox>
            <w10:anchorlock/>
          </v:rect>
        </w:pict>
      </w:r>
      <w:r>
        <w:rPr>
          <w:rStyle w:val="big-number"/>
          <w:rFonts w:cs="Miriam" w:hint="cs"/>
          <w:rtl/>
        </w:rPr>
        <w:t>2</w:t>
      </w:r>
      <w:r w:rsidR="007F1450">
        <w:rPr>
          <w:rStyle w:val="big-number"/>
          <w:rFonts w:cs="Miriam" w:hint="cs"/>
          <w:rtl/>
        </w:rPr>
        <w:t>7</w:t>
      </w:r>
      <w:r>
        <w:rPr>
          <w:rStyle w:val="default"/>
          <w:rFonts w:cs="FrankRuehl"/>
          <w:rtl/>
        </w:rPr>
        <w:t>.</w:t>
      </w:r>
      <w:r>
        <w:rPr>
          <w:rStyle w:val="default"/>
          <w:rFonts w:cs="FrankRuehl"/>
          <w:rtl/>
        </w:rPr>
        <w:tab/>
      </w:r>
      <w:r w:rsidR="007F1450">
        <w:rPr>
          <w:rStyle w:val="default"/>
          <w:rFonts w:cs="FrankRuehl" w:hint="cs"/>
          <w:rtl/>
        </w:rPr>
        <w:t>(א)</w:t>
      </w:r>
      <w:r w:rsidR="007F1450">
        <w:rPr>
          <w:rStyle w:val="default"/>
          <w:rFonts w:cs="FrankRuehl" w:hint="cs"/>
          <w:rtl/>
        </w:rPr>
        <w:tab/>
        <w:t>בכפוף לאמור ובהתאם לשינויים</w:t>
      </w:r>
      <w:r w:rsidR="00616099">
        <w:rPr>
          <w:rStyle w:val="default"/>
          <w:rFonts w:cs="FrankRuehl" w:hint="cs"/>
          <w:rtl/>
        </w:rPr>
        <w:t xml:space="preserve"> מכוח צו זה, תחיקת משנה מכוח החוק, לרבות כל צו, הוראות והוראות מינהל מכוחו, כפי תוקפן בישראל מעת לעת, יחולו בתחום מועצה אזורית, בתחום מועצה מקומית ועל מתקן, בשינויים המחויבים.</w:t>
      </w:r>
    </w:p>
    <w:p w:rsidR="00616099" w:rsidRDefault="00616099" w:rsidP="006160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אשר הותקנו מכוח חוק שירותי הכבאות, התשי"ט-1959 המפורטות בסעיף 147(א)(1)-(11) ו-147(א)(16) לחוק, כפי תוקפן בישראל מעת לעת, יחולו בתחום מועצה אזורית, בתחום מועצה מקומית, ועל מתקן, בשינויים המחויבים.</w:t>
      </w:r>
    </w:p>
    <w:p w:rsidR="00616099" w:rsidRDefault="00616099" w:rsidP="006160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מפקד כוחות צה"ל באזור רשאי לקבוע כי תחיקת משנה המפורטת בסעיפים קטנים (א) ו-(ב) תחול, בין בדרך כלל ובין לעניין מסוים, על שטח או מקום שאינם מנויים בסעיפים קטנים (א) ו-(ב), הכל בשינויים ובתיאומים שיקבעו.</w:t>
      </w:r>
    </w:p>
    <w:p w:rsidR="00C76A7D" w:rsidRDefault="00C76A7D" w:rsidP="00616099">
      <w:pPr>
        <w:pStyle w:val="P00"/>
        <w:spacing w:before="72"/>
        <w:ind w:left="0" w:right="1134"/>
        <w:rPr>
          <w:rStyle w:val="default"/>
          <w:rFonts w:cs="FrankRuehl" w:hint="cs"/>
          <w:rtl/>
        </w:rPr>
      </w:pPr>
      <w:bookmarkStart w:id="30" w:name="Seif28"/>
      <w:bookmarkEnd w:id="30"/>
      <w:r>
        <w:rPr>
          <w:rFonts w:cs="Miriam"/>
          <w:lang w:val="he-IL"/>
        </w:rPr>
        <w:pict>
          <v:rect id="_x0000_s1806" style="position:absolute;left:0;text-align:left;margin-left:464.35pt;margin-top:7.1pt;width:75.05pt;height:29.95pt;z-index:251670016" o:allowincell="f" filled="f" stroked="f" strokecolor="lime" strokeweight=".25pt">
            <v:textbox style="mso-next-textbox:#_x0000_s1806" inset="0,0,0,0">
              <w:txbxContent>
                <w:p w:rsidR="00C76A7D" w:rsidRDefault="00616099" w:rsidP="00C76A7D">
                  <w:pPr>
                    <w:pStyle w:val="a7"/>
                    <w:rPr>
                      <w:rFonts w:hint="cs"/>
                      <w:noProof/>
                      <w:rtl/>
                    </w:rPr>
                  </w:pPr>
                  <w:r>
                    <w:rPr>
                      <w:rFonts w:hint="cs"/>
                      <w:rtl/>
                    </w:rPr>
                    <w:t>סמכות בית המשפט לעניינים מקומיים של ערכאת הערעור</w:t>
                  </w:r>
                </w:p>
              </w:txbxContent>
            </v:textbox>
            <w10:anchorlock/>
          </v:rect>
        </w:pict>
      </w:r>
      <w:r>
        <w:rPr>
          <w:rStyle w:val="big-number"/>
          <w:rFonts w:cs="Miriam" w:hint="cs"/>
          <w:rtl/>
        </w:rPr>
        <w:t>2</w:t>
      </w:r>
      <w:r w:rsidR="00616099">
        <w:rPr>
          <w:rStyle w:val="big-number"/>
          <w:rFonts w:cs="Miriam" w:hint="cs"/>
          <w:rtl/>
        </w:rPr>
        <w:t>8</w:t>
      </w:r>
      <w:r>
        <w:rPr>
          <w:rStyle w:val="default"/>
          <w:rFonts w:cs="FrankRuehl"/>
          <w:rtl/>
        </w:rPr>
        <w:t>.</w:t>
      </w:r>
      <w:r>
        <w:rPr>
          <w:rStyle w:val="default"/>
          <w:rFonts w:cs="FrankRuehl"/>
          <w:rtl/>
        </w:rPr>
        <w:tab/>
      </w:r>
      <w:r w:rsidR="00616099">
        <w:rPr>
          <w:rStyle w:val="default"/>
          <w:rFonts w:cs="FrankRuehl" w:hint="cs"/>
          <w:rtl/>
        </w:rPr>
        <w:t>על אף האמור בסעיף 142 לחוק, הסמכות לדון בעתירה על החלטות הרשות בתחומי המועצות המקומיות, המועצות האזוריות או ביחס למתקן תהייה לבית המשפט לעניינים מקומיים של ערכאת ערעור למעט:</w:t>
      </w:r>
    </w:p>
    <w:p w:rsidR="00616099" w:rsidRDefault="00616099" w:rsidP="0061609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החלטות ביחס לצו הפסקה מינהלי;</w:t>
      </w:r>
    </w:p>
    <w:p w:rsidR="00616099" w:rsidRDefault="00616099" w:rsidP="0061609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החלטות של קציני מטה במינהל האזרחי.</w:t>
      </w:r>
    </w:p>
    <w:p w:rsidR="00C76A7D" w:rsidRPr="00616099" w:rsidRDefault="00C76A7D" w:rsidP="00616099">
      <w:pPr>
        <w:pStyle w:val="P00"/>
        <w:spacing w:before="72"/>
        <w:ind w:left="0" w:right="1134"/>
        <w:rPr>
          <w:rStyle w:val="default"/>
          <w:rFonts w:cs="FrankRuehl" w:hint="cs"/>
          <w:sz w:val="20"/>
          <w:rtl/>
        </w:rPr>
      </w:pPr>
      <w:bookmarkStart w:id="31" w:name="Seif29"/>
      <w:bookmarkEnd w:id="31"/>
      <w:r w:rsidRPr="00616099">
        <w:rPr>
          <w:rFonts w:cs="Miriam"/>
          <w:lang w:val="he-IL"/>
        </w:rPr>
        <w:pict>
          <v:rect id="_x0000_s1807" style="position:absolute;left:0;text-align:left;margin-left:464.35pt;margin-top:7.1pt;width:75.05pt;height:12.55pt;z-index:251671040" o:allowincell="f" filled="f" stroked="f" strokecolor="lime" strokeweight=".25pt">
            <v:textbox style="mso-next-textbox:#_x0000_s1807" inset="0,0,0,0">
              <w:txbxContent>
                <w:p w:rsidR="00C76A7D" w:rsidRDefault="00616099" w:rsidP="00C76A7D">
                  <w:pPr>
                    <w:pStyle w:val="a7"/>
                    <w:rPr>
                      <w:rFonts w:hint="cs"/>
                      <w:noProof/>
                      <w:rtl/>
                    </w:rPr>
                  </w:pPr>
                  <w:r>
                    <w:rPr>
                      <w:rFonts w:hint="cs"/>
                      <w:rtl/>
                    </w:rPr>
                    <w:t>תחולת הצו</w:t>
                  </w:r>
                </w:p>
              </w:txbxContent>
            </v:textbox>
            <w10:anchorlock/>
          </v:rect>
        </w:pict>
      </w:r>
      <w:r w:rsidRPr="00616099">
        <w:rPr>
          <w:rStyle w:val="big-number"/>
          <w:rFonts w:cs="Miriam" w:hint="cs"/>
          <w:sz w:val="20"/>
          <w:rtl/>
        </w:rPr>
        <w:t>2</w:t>
      </w:r>
      <w:r w:rsidR="00616099" w:rsidRPr="00616099">
        <w:rPr>
          <w:rStyle w:val="big-number"/>
          <w:rFonts w:cs="Miriam" w:hint="cs"/>
          <w:sz w:val="20"/>
          <w:rtl/>
        </w:rPr>
        <w:t>9</w:t>
      </w:r>
      <w:r w:rsidRPr="00616099">
        <w:rPr>
          <w:rStyle w:val="default"/>
          <w:rFonts w:cs="FrankRuehl"/>
          <w:sz w:val="20"/>
          <w:rtl/>
        </w:rPr>
        <w:t>.</w:t>
      </w:r>
      <w:r w:rsidRPr="00616099">
        <w:rPr>
          <w:rStyle w:val="default"/>
          <w:rFonts w:cs="FrankRuehl"/>
          <w:sz w:val="20"/>
          <w:rtl/>
        </w:rPr>
        <w:tab/>
      </w:r>
      <w:r w:rsidR="00616099" w:rsidRPr="00616099">
        <w:rPr>
          <w:rStyle w:val="default"/>
          <w:rFonts w:cs="FrankRuehl" w:hint="cs"/>
          <w:sz w:val="20"/>
          <w:rtl/>
        </w:rPr>
        <w:t xml:space="preserve">צו זה יחול בשטח </w:t>
      </w:r>
      <w:r w:rsidR="00616099" w:rsidRPr="00616099">
        <w:rPr>
          <w:rStyle w:val="default"/>
          <w:rFonts w:cs="FrankRuehl"/>
          <w:sz w:val="20"/>
        </w:rPr>
        <w:t>C</w:t>
      </w:r>
      <w:r w:rsidR="00616099" w:rsidRPr="00616099">
        <w:rPr>
          <w:rStyle w:val="default"/>
          <w:rFonts w:cs="FrankRuehl" w:hint="cs"/>
          <w:sz w:val="20"/>
          <w:rtl/>
        </w:rPr>
        <w:t>.</w:t>
      </w:r>
    </w:p>
    <w:p w:rsidR="00C76A7D" w:rsidRDefault="00C76A7D" w:rsidP="00616099">
      <w:pPr>
        <w:pStyle w:val="P00"/>
        <w:spacing w:before="72"/>
        <w:ind w:left="0" w:right="1134"/>
        <w:rPr>
          <w:rStyle w:val="default"/>
          <w:rFonts w:cs="FrankRuehl" w:hint="cs"/>
          <w:rtl/>
        </w:rPr>
      </w:pPr>
      <w:bookmarkStart w:id="32" w:name="Seif30"/>
      <w:bookmarkEnd w:id="32"/>
      <w:r>
        <w:rPr>
          <w:rFonts w:cs="Miriam"/>
          <w:lang w:val="he-IL"/>
        </w:rPr>
        <w:pict>
          <v:rect id="_x0000_s1808" style="position:absolute;left:0;text-align:left;margin-left:464.35pt;margin-top:7.1pt;width:75.05pt;height:12.55pt;z-index:251672064" o:allowincell="f" filled="f" stroked="f" strokecolor="lime" strokeweight=".25pt">
            <v:textbox style="mso-next-textbox:#_x0000_s1808" inset="0,0,0,0">
              <w:txbxContent>
                <w:p w:rsidR="00C76A7D" w:rsidRDefault="00616099" w:rsidP="00C76A7D">
                  <w:pPr>
                    <w:pStyle w:val="a7"/>
                    <w:rPr>
                      <w:rFonts w:hint="cs"/>
                      <w:noProof/>
                      <w:rtl/>
                    </w:rPr>
                  </w:pPr>
                  <w:r>
                    <w:rPr>
                      <w:rFonts w:hint="cs"/>
                      <w:rtl/>
                    </w:rPr>
                    <w:t>תחילה ופרסום</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616099">
        <w:rPr>
          <w:rStyle w:val="default"/>
          <w:rFonts w:cs="FrankRuehl" w:hint="cs"/>
          <w:rtl/>
        </w:rPr>
        <w:t>(א)</w:t>
      </w:r>
      <w:r w:rsidR="00616099">
        <w:rPr>
          <w:rStyle w:val="default"/>
          <w:rFonts w:cs="FrankRuehl" w:hint="cs"/>
          <w:rtl/>
        </w:rPr>
        <w:tab/>
        <w:t>תחילתו של צו זה ביום כניסתו לתוקף של החוק והוא יפורסם בקובץ מנשרים צווים ומינויים.</w:t>
      </w:r>
    </w:p>
    <w:p w:rsidR="00616099" w:rsidRDefault="00616099" w:rsidP="006160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תחילתם של סעיפים 15-21, 22(א) ו-23-28 ביום חתימתו של צו זה.</w:t>
      </w:r>
    </w:p>
    <w:p w:rsidR="00C76A7D" w:rsidRDefault="00C76A7D" w:rsidP="00616099">
      <w:pPr>
        <w:pStyle w:val="P00"/>
        <w:spacing w:before="72"/>
        <w:ind w:left="0" w:right="1134"/>
        <w:rPr>
          <w:rStyle w:val="default"/>
          <w:rFonts w:cs="FrankRuehl" w:hint="cs"/>
          <w:rtl/>
        </w:rPr>
      </w:pPr>
      <w:bookmarkStart w:id="33" w:name="Seif31"/>
      <w:bookmarkEnd w:id="33"/>
      <w:r>
        <w:rPr>
          <w:rFonts w:cs="Miriam"/>
          <w:lang w:val="he-IL"/>
        </w:rPr>
        <w:pict>
          <v:rect id="_x0000_s1809" style="position:absolute;left:0;text-align:left;margin-left:464.35pt;margin-top:7.1pt;width:75.05pt;height:12.55pt;z-index:251673088" o:allowincell="f" filled="f" stroked="f" strokecolor="lime" strokeweight=".25pt">
            <v:textbox style="mso-next-textbox:#_x0000_s1809" inset="0,0,0,0">
              <w:txbxContent>
                <w:p w:rsidR="00C76A7D" w:rsidRDefault="00C76A7D" w:rsidP="00C76A7D">
                  <w:pPr>
                    <w:pStyle w:val="a7"/>
                    <w:rPr>
                      <w:rFonts w:hint="cs"/>
                      <w:noProof/>
                      <w:rtl/>
                    </w:rPr>
                  </w:pPr>
                  <w:r>
                    <w:rPr>
                      <w:rFonts w:hint="cs"/>
                      <w:rtl/>
                    </w:rPr>
                    <w:t>השם</w:t>
                  </w:r>
                </w:p>
              </w:txbxContent>
            </v:textbox>
            <w10:anchorlock/>
          </v:rect>
        </w:pict>
      </w:r>
      <w:r>
        <w:rPr>
          <w:rStyle w:val="big-number"/>
          <w:rFonts w:cs="Miriam" w:hint="cs"/>
          <w:rtl/>
        </w:rPr>
        <w:t>3</w:t>
      </w:r>
      <w:r w:rsidR="00616099">
        <w:rPr>
          <w:rStyle w:val="big-number"/>
          <w:rFonts w:cs="Miriam" w:hint="cs"/>
          <w:rtl/>
        </w:rPr>
        <w:t>1</w:t>
      </w:r>
      <w:r>
        <w:rPr>
          <w:rStyle w:val="default"/>
          <w:rFonts w:cs="FrankRuehl"/>
          <w:rtl/>
        </w:rPr>
        <w:t>.</w:t>
      </w:r>
      <w:r>
        <w:rPr>
          <w:rStyle w:val="default"/>
          <w:rFonts w:cs="FrankRuehl"/>
          <w:rtl/>
        </w:rPr>
        <w:tab/>
      </w:r>
      <w:r w:rsidR="00616099">
        <w:rPr>
          <w:rStyle w:val="default"/>
          <w:rFonts w:cs="FrankRuehl" w:hint="cs"/>
          <w:rtl/>
        </w:rPr>
        <w:t>צו זה ייקרא: "צו בדבר הרשות לכבאות והצלה (יהודה והשומרון) (מס' 1742) התשע"ד-2014".</w:t>
      </w:r>
    </w:p>
    <w:p w:rsidR="005D1A70" w:rsidRDefault="005D1A70">
      <w:pPr>
        <w:pStyle w:val="P00"/>
        <w:spacing w:before="72"/>
        <w:ind w:left="0" w:right="1134"/>
        <w:rPr>
          <w:rStyle w:val="default"/>
          <w:rFonts w:cs="FrankRuehl" w:hint="cs"/>
          <w:rtl/>
        </w:rPr>
      </w:pPr>
    </w:p>
    <w:p w:rsidR="00043FEA" w:rsidRDefault="00043FEA">
      <w:pPr>
        <w:pStyle w:val="P00"/>
        <w:spacing w:before="72"/>
        <w:ind w:left="0" w:right="1134"/>
        <w:rPr>
          <w:rStyle w:val="default"/>
          <w:rFonts w:cs="FrankRuehl" w:hint="cs"/>
          <w:rtl/>
        </w:rPr>
      </w:pPr>
    </w:p>
    <w:p w:rsidR="006F4B89" w:rsidRDefault="00616099" w:rsidP="0061609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י"ט בתמוז התשע"ד (17 ביולי 2014</w:t>
      </w:r>
      <w:r w:rsidR="006F4B89">
        <w:rPr>
          <w:rStyle w:val="default"/>
          <w:rFonts w:cs="FrankRuehl" w:hint="cs"/>
          <w:rtl/>
        </w:rPr>
        <w:t>)</w:t>
      </w:r>
      <w:r w:rsidR="006F4B89">
        <w:rPr>
          <w:rStyle w:val="default"/>
          <w:rFonts w:cs="FrankRuehl" w:hint="cs"/>
          <w:rtl/>
        </w:rPr>
        <w:tab/>
      </w:r>
      <w:r>
        <w:rPr>
          <w:rStyle w:val="default"/>
          <w:rFonts w:cs="FrankRuehl" w:hint="cs"/>
          <w:rtl/>
        </w:rPr>
        <w:t xml:space="preserve">ניצן אלון, </w:t>
      </w:r>
      <w:r w:rsidR="002134B6">
        <w:rPr>
          <w:rStyle w:val="default"/>
          <w:rFonts w:cs="FrankRuehl" w:hint="cs"/>
          <w:rtl/>
        </w:rPr>
        <w:t>אלוף</w:t>
      </w:r>
    </w:p>
    <w:p w:rsidR="00A3778D" w:rsidRDefault="00104050" w:rsidP="00616099">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D9486D">
        <w:rPr>
          <w:rFonts w:cs="FrankRuehl" w:hint="cs"/>
          <w:sz w:val="22"/>
          <w:szCs w:val="22"/>
          <w:rtl/>
        </w:rPr>
        <w:t xml:space="preserve">מפקד </w:t>
      </w:r>
      <w:r w:rsidR="00616099">
        <w:rPr>
          <w:rFonts w:cs="FrankRuehl" w:hint="cs"/>
          <w:sz w:val="22"/>
          <w:szCs w:val="22"/>
          <w:rtl/>
        </w:rPr>
        <w:t xml:space="preserve">כוחות צה"ל </w:t>
      </w:r>
    </w:p>
    <w:p w:rsidR="00D31A7B" w:rsidRDefault="00A3778D" w:rsidP="00616099">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616099">
        <w:rPr>
          <w:rFonts w:cs="FrankRuehl" w:hint="cs"/>
          <w:sz w:val="22"/>
          <w:szCs w:val="22"/>
          <w:rtl/>
        </w:rPr>
        <w:t xml:space="preserve">באזור </w:t>
      </w:r>
      <w:r w:rsidR="00D31A7B">
        <w:rPr>
          <w:rFonts w:cs="FrankRuehl" w:hint="cs"/>
          <w:sz w:val="22"/>
          <w:szCs w:val="22"/>
          <w:rtl/>
        </w:rPr>
        <w:t>יהודה והשומרון</w:t>
      </w:r>
    </w:p>
    <w:p w:rsidR="00C76A7D" w:rsidRDefault="00C76A7D">
      <w:pPr>
        <w:pStyle w:val="sig-0"/>
        <w:tabs>
          <w:tab w:val="clear" w:pos="4820"/>
          <w:tab w:val="center" w:pos="5670"/>
        </w:tabs>
        <w:ind w:left="0" w:right="1134"/>
        <w:rPr>
          <w:rFonts w:cs="FrankRuehl" w:hint="cs"/>
          <w:sz w:val="26"/>
          <w:rtl/>
        </w:rPr>
      </w:pPr>
    </w:p>
    <w:p w:rsidR="009E170A" w:rsidRDefault="009E170A">
      <w:pPr>
        <w:pStyle w:val="sig-0"/>
        <w:tabs>
          <w:tab w:val="clear" w:pos="4820"/>
          <w:tab w:val="center" w:pos="5670"/>
        </w:tabs>
        <w:ind w:left="0" w:right="1134"/>
        <w:rPr>
          <w:rFonts w:cs="FrankRuehl" w:hint="cs"/>
          <w:sz w:val="26"/>
          <w:rtl/>
        </w:rPr>
      </w:pPr>
    </w:p>
    <w:p w:rsidR="00525E5F" w:rsidRDefault="00525E5F">
      <w:pPr>
        <w:pStyle w:val="sig-0"/>
        <w:ind w:left="0" w:right="1134"/>
        <w:rPr>
          <w:rFonts w:cs="FrankRuehl"/>
          <w:sz w:val="26"/>
          <w:rtl/>
        </w:rPr>
      </w:pPr>
    </w:p>
    <w:p w:rsidR="00525E5F" w:rsidRDefault="00525E5F">
      <w:pPr>
        <w:pStyle w:val="sig-0"/>
        <w:ind w:left="0" w:right="1134"/>
        <w:rPr>
          <w:rFonts w:cs="FrankRuehl"/>
          <w:sz w:val="26"/>
          <w:rtl/>
        </w:rPr>
      </w:pPr>
    </w:p>
    <w:p w:rsidR="00525E5F" w:rsidRDefault="00525E5F" w:rsidP="00525E5F">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6F4B89" w:rsidRPr="00525E5F" w:rsidRDefault="006F4B89" w:rsidP="00525E5F">
      <w:pPr>
        <w:pStyle w:val="sig-0"/>
        <w:ind w:left="0" w:right="1134"/>
        <w:jc w:val="center"/>
        <w:rPr>
          <w:rFonts w:cs="David" w:hint="cs"/>
          <w:color w:val="0000FF"/>
          <w:sz w:val="26"/>
          <w:szCs w:val="24"/>
          <w:u w:val="single"/>
          <w:rtl/>
        </w:rPr>
      </w:pPr>
    </w:p>
    <w:sectPr w:rsidR="006F4B89" w:rsidRPr="00525E5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7FD5" w:rsidRDefault="00E97FD5">
      <w:r>
        <w:separator/>
      </w:r>
    </w:p>
  </w:endnote>
  <w:endnote w:type="continuationSeparator" w:id="0">
    <w:p w:rsidR="00E97FD5" w:rsidRDefault="00E9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525" w:rsidRDefault="0096552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65525" w:rsidRDefault="009655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5525" w:rsidRDefault="009655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5E5F">
      <w:rPr>
        <w:rFonts w:cs="TopType Jerushalmi"/>
        <w:noProof/>
        <w:color w:val="000000"/>
        <w:sz w:val="14"/>
        <w:szCs w:val="14"/>
      </w:rPr>
      <w:t>Z:\000-law\yael\2014\2014-11-20\tav\666_068.doc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525" w:rsidRDefault="0096552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25E5F">
      <w:rPr>
        <w:rFonts w:hAnsi="FrankRuehl" w:cs="FrankRuehl"/>
        <w:noProof/>
        <w:sz w:val="24"/>
        <w:szCs w:val="24"/>
        <w:rtl/>
      </w:rPr>
      <w:t>7</w:t>
    </w:r>
    <w:r>
      <w:rPr>
        <w:rFonts w:hAnsi="FrankRuehl" w:cs="FrankRuehl"/>
        <w:sz w:val="24"/>
        <w:szCs w:val="24"/>
        <w:rtl/>
      </w:rPr>
      <w:fldChar w:fldCharType="end"/>
    </w:r>
  </w:p>
  <w:p w:rsidR="00965525" w:rsidRDefault="0096552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65525" w:rsidRDefault="0096552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5E5F">
      <w:rPr>
        <w:rFonts w:cs="TopType Jerushalmi"/>
        <w:noProof/>
        <w:color w:val="000000"/>
        <w:sz w:val="14"/>
        <w:szCs w:val="14"/>
      </w:rPr>
      <w:t>Z:\000-law\yael\2014\2014-11-20\tav\666_068.doc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7FD5" w:rsidRDefault="00E97FD5">
      <w:pPr>
        <w:pStyle w:val="a5"/>
        <w:rPr>
          <w:rFonts w:cs="David"/>
          <w:sz w:val="24"/>
          <w:szCs w:val="24"/>
        </w:rPr>
      </w:pPr>
      <w:r>
        <w:separator/>
      </w:r>
    </w:p>
  </w:footnote>
  <w:footnote w:type="continuationSeparator" w:id="0">
    <w:p w:rsidR="00E97FD5" w:rsidRDefault="00E97FD5">
      <w:r>
        <w:continuationSeparator/>
      </w:r>
    </w:p>
  </w:footnote>
  <w:footnote w:id="1">
    <w:p w:rsidR="007A0582" w:rsidRDefault="00965525" w:rsidP="007A05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7A0582">
          <w:rPr>
            <w:rStyle w:val="Hyperlink"/>
            <w:rFonts w:cs="FrankRuehl" w:hint="cs"/>
            <w:rtl/>
          </w:rPr>
          <w:t xml:space="preserve">קובץ המנשרים מס' </w:t>
        </w:r>
        <w:r w:rsidR="00C76A7D" w:rsidRPr="007A0582">
          <w:rPr>
            <w:rStyle w:val="Hyperlink"/>
            <w:rFonts w:cs="FrankRuehl" w:hint="cs"/>
            <w:rtl/>
          </w:rPr>
          <w:t>242</w:t>
        </w:r>
      </w:hyperlink>
      <w:r>
        <w:rPr>
          <w:rFonts w:cs="FrankRuehl" w:hint="cs"/>
          <w:rtl/>
        </w:rPr>
        <w:t xml:space="preserve"> מ</w:t>
      </w:r>
      <w:r w:rsidR="00C76A7D">
        <w:rPr>
          <w:rFonts w:cs="FrankRuehl" w:hint="cs"/>
          <w:rtl/>
        </w:rPr>
        <w:t>חודש אוקטובר 2014</w:t>
      </w:r>
      <w:r>
        <w:rPr>
          <w:rFonts w:cs="FrankRuehl" w:hint="cs"/>
          <w:rtl/>
        </w:rPr>
        <w:t xml:space="preserve"> </w:t>
      </w:r>
      <w:r w:rsidRPr="00965525">
        <w:rPr>
          <w:rFonts w:cs="FrankRuehl" w:hint="cs"/>
          <w:rtl/>
        </w:rPr>
        <w:t xml:space="preserve">עמ' </w:t>
      </w:r>
      <w:r w:rsidR="00C76A7D">
        <w:rPr>
          <w:rFonts w:cs="FrankRuehl" w:hint="cs"/>
          <w:rtl/>
        </w:rPr>
        <w:t>1780</w:t>
      </w:r>
      <w:r w:rsidRPr="00965525">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525" w:rsidRDefault="0096552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65525" w:rsidRDefault="0096552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5525" w:rsidRDefault="0096552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5525" w:rsidRDefault="00965525" w:rsidP="00C76A7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C76A7D">
      <w:rPr>
        <w:rFonts w:hAnsi="FrankRuehl" w:cs="FrankRuehl" w:hint="cs"/>
        <w:color w:val="000000"/>
        <w:sz w:val="28"/>
        <w:szCs w:val="28"/>
        <w:rtl/>
      </w:rPr>
      <w:t>הרשות לכבאות והצלה (יהודה והשומרון) (מס' 1742), תשע"ד-2014</w:t>
    </w:r>
  </w:p>
  <w:p w:rsidR="00965525" w:rsidRDefault="0096552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65525" w:rsidRDefault="0096552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1413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24C61"/>
    <w:rsid w:val="00041924"/>
    <w:rsid w:val="0004377E"/>
    <w:rsid w:val="00043FEA"/>
    <w:rsid w:val="00045240"/>
    <w:rsid w:val="000459EE"/>
    <w:rsid w:val="000525C8"/>
    <w:rsid w:val="00061AC4"/>
    <w:rsid w:val="00063228"/>
    <w:rsid w:val="000639BA"/>
    <w:rsid w:val="000642BB"/>
    <w:rsid w:val="00077E5B"/>
    <w:rsid w:val="00080038"/>
    <w:rsid w:val="00085208"/>
    <w:rsid w:val="000900BF"/>
    <w:rsid w:val="000900F0"/>
    <w:rsid w:val="00090F84"/>
    <w:rsid w:val="00096CE6"/>
    <w:rsid w:val="000A0AC4"/>
    <w:rsid w:val="000A22B2"/>
    <w:rsid w:val="000C026B"/>
    <w:rsid w:val="000C1C89"/>
    <w:rsid w:val="000C3D23"/>
    <w:rsid w:val="000E0FAD"/>
    <w:rsid w:val="000E2FA3"/>
    <w:rsid w:val="000E7BFB"/>
    <w:rsid w:val="000F0C31"/>
    <w:rsid w:val="000F38E1"/>
    <w:rsid w:val="00104050"/>
    <w:rsid w:val="00112955"/>
    <w:rsid w:val="001243DB"/>
    <w:rsid w:val="001400F4"/>
    <w:rsid w:val="001402C1"/>
    <w:rsid w:val="00145B4F"/>
    <w:rsid w:val="001503EE"/>
    <w:rsid w:val="00152BD0"/>
    <w:rsid w:val="00154ECC"/>
    <w:rsid w:val="00166641"/>
    <w:rsid w:val="0017106F"/>
    <w:rsid w:val="001940AE"/>
    <w:rsid w:val="001A4925"/>
    <w:rsid w:val="001A662D"/>
    <w:rsid w:val="001B1D02"/>
    <w:rsid w:val="001C18F6"/>
    <w:rsid w:val="001C35B2"/>
    <w:rsid w:val="001C4CFF"/>
    <w:rsid w:val="001D0F85"/>
    <w:rsid w:val="001D6DC7"/>
    <w:rsid w:val="001E4F2B"/>
    <w:rsid w:val="001F59B3"/>
    <w:rsid w:val="00201822"/>
    <w:rsid w:val="00206913"/>
    <w:rsid w:val="002117A3"/>
    <w:rsid w:val="002134B6"/>
    <w:rsid w:val="0021653B"/>
    <w:rsid w:val="00233335"/>
    <w:rsid w:val="00237219"/>
    <w:rsid w:val="002416DF"/>
    <w:rsid w:val="00245C26"/>
    <w:rsid w:val="00252D55"/>
    <w:rsid w:val="00263D0C"/>
    <w:rsid w:val="002709CD"/>
    <w:rsid w:val="002748CB"/>
    <w:rsid w:val="0029382A"/>
    <w:rsid w:val="00294A20"/>
    <w:rsid w:val="002A1293"/>
    <w:rsid w:val="002A3236"/>
    <w:rsid w:val="002A3AE1"/>
    <w:rsid w:val="002B02AE"/>
    <w:rsid w:val="002B4BCC"/>
    <w:rsid w:val="002C0168"/>
    <w:rsid w:val="002C3DB1"/>
    <w:rsid w:val="002C6697"/>
    <w:rsid w:val="002E465B"/>
    <w:rsid w:val="002E4F84"/>
    <w:rsid w:val="002F274E"/>
    <w:rsid w:val="00302A14"/>
    <w:rsid w:val="00307106"/>
    <w:rsid w:val="00314365"/>
    <w:rsid w:val="00314A1B"/>
    <w:rsid w:val="00315FE5"/>
    <w:rsid w:val="00321C06"/>
    <w:rsid w:val="00324DF8"/>
    <w:rsid w:val="003254B8"/>
    <w:rsid w:val="0033203E"/>
    <w:rsid w:val="003360AE"/>
    <w:rsid w:val="0033682D"/>
    <w:rsid w:val="00354F82"/>
    <w:rsid w:val="00355E52"/>
    <w:rsid w:val="00356180"/>
    <w:rsid w:val="00360157"/>
    <w:rsid w:val="00361CC2"/>
    <w:rsid w:val="00374E4D"/>
    <w:rsid w:val="00385B85"/>
    <w:rsid w:val="003919FD"/>
    <w:rsid w:val="003B6CCE"/>
    <w:rsid w:val="003C113E"/>
    <w:rsid w:val="003D0B27"/>
    <w:rsid w:val="003D6E5B"/>
    <w:rsid w:val="003E063C"/>
    <w:rsid w:val="003E3B8E"/>
    <w:rsid w:val="004001D2"/>
    <w:rsid w:val="004151E8"/>
    <w:rsid w:val="004159A6"/>
    <w:rsid w:val="004163E5"/>
    <w:rsid w:val="00422099"/>
    <w:rsid w:val="00422290"/>
    <w:rsid w:val="004225E1"/>
    <w:rsid w:val="004237AE"/>
    <w:rsid w:val="00425976"/>
    <w:rsid w:val="004340A6"/>
    <w:rsid w:val="00436502"/>
    <w:rsid w:val="00437A42"/>
    <w:rsid w:val="00457C10"/>
    <w:rsid w:val="00464F91"/>
    <w:rsid w:val="00475737"/>
    <w:rsid w:val="00486BF5"/>
    <w:rsid w:val="00492CB3"/>
    <w:rsid w:val="00495F5E"/>
    <w:rsid w:val="004A1312"/>
    <w:rsid w:val="004A5E3A"/>
    <w:rsid w:val="004C187A"/>
    <w:rsid w:val="004D3059"/>
    <w:rsid w:val="004D39D8"/>
    <w:rsid w:val="004D6559"/>
    <w:rsid w:val="004E3579"/>
    <w:rsid w:val="004E73F9"/>
    <w:rsid w:val="004F3A58"/>
    <w:rsid w:val="004F498A"/>
    <w:rsid w:val="004F74B1"/>
    <w:rsid w:val="005007C4"/>
    <w:rsid w:val="00500AC6"/>
    <w:rsid w:val="0050542D"/>
    <w:rsid w:val="00522621"/>
    <w:rsid w:val="005244BD"/>
    <w:rsid w:val="00525E5F"/>
    <w:rsid w:val="00525EE0"/>
    <w:rsid w:val="00536F21"/>
    <w:rsid w:val="005405C4"/>
    <w:rsid w:val="0055334C"/>
    <w:rsid w:val="0056299E"/>
    <w:rsid w:val="00567A5F"/>
    <w:rsid w:val="00585FBA"/>
    <w:rsid w:val="005873A7"/>
    <w:rsid w:val="00590F2A"/>
    <w:rsid w:val="00592AB5"/>
    <w:rsid w:val="005A239F"/>
    <w:rsid w:val="005B37C2"/>
    <w:rsid w:val="005B4EE1"/>
    <w:rsid w:val="005C199B"/>
    <w:rsid w:val="005C23CD"/>
    <w:rsid w:val="005C4BC6"/>
    <w:rsid w:val="005D1A70"/>
    <w:rsid w:val="005D6F8B"/>
    <w:rsid w:val="005E24AF"/>
    <w:rsid w:val="005E3A7A"/>
    <w:rsid w:val="005E6CC2"/>
    <w:rsid w:val="005F4EC8"/>
    <w:rsid w:val="005F6DFC"/>
    <w:rsid w:val="00603B38"/>
    <w:rsid w:val="00605D2D"/>
    <w:rsid w:val="00610745"/>
    <w:rsid w:val="00615F45"/>
    <w:rsid w:val="00616099"/>
    <w:rsid w:val="00620D31"/>
    <w:rsid w:val="00623418"/>
    <w:rsid w:val="00623B3D"/>
    <w:rsid w:val="006300F2"/>
    <w:rsid w:val="00657A3C"/>
    <w:rsid w:val="006861E7"/>
    <w:rsid w:val="00686E66"/>
    <w:rsid w:val="0069076C"/>
    <w:rsid w:val="00697D3D"/>
    <w:rsid w:val="006A3983"/>
    <w:rsid w:val="006A6F7B"/>
    <w:rsid w:val="006B0959"/>
    <w:rsid w:val="006B19AF"/>
    <w:rsid w:val="006C4092"/>
    <w:rsid w:val="006C6CCC"/>
    <w:rsid w:val="006D2C71"/>
    <w:rsid w:val="006E0323"/>
    <w:rsid w:val="006F436B"/>
    <w:rsid w:val="006F4817"/>
    <w:rsid w:val="006F4B89"/>
    <w:rsid w:val="007078DC"/>
    <w:rsid w:val="00714E84"/>
    <w:rsid w:val="00721820"/>
    <w:rsid w:val="00724833"/>
    <w:rsid w:val="00735B0A"/>
    <w:rsid w:val="0073631C"/>
    <w:rsid w:val="007454F1"/>
    <w:rsid w:val="00753D42"/>
    <w:rsid w:val="007541BB"/>
    <w:rsid w:val="007610D7"/>
    <w:rsid w:val="0077635A"/>
    <w:rsid w:val="00776715"/>
    <w:rsid w:val="00786764"/>
    <w:rsid w:val="0079141B"/>
    <w:rsid w:val="007938EC"/>
    <w:rsid w:val="007A0582"/>
    <w:rsid w:val="007A1B55"/>
    <w:rsid w:val="007A2EB5"/>
    <w:rsid w:val="007B25F0"/>
    <w:rsid w:val="007B43C3"/>
    <w:rsid w:val="007F1450"/>
    <w:rsid w:val="007F4164"/>
    <w:rsid w:val="007F67C6"/>
    <w:rsid w:val="00800D8C"/>
    <w:rsid w:val="008025D3"/>
    <w:rsid w:val="00807158"/>
    <w:rsid w:val="0081644B"/>
    <w:rsid w:val="0083375A"/>
    <w:rsid w:val="00845135"/>
    <w:rsid w:val="00845540"/>
    <w:rsid w:val="00850C1D"/>
    <w:rsid w:val="00851E27"/>
    <w:rsid w:val="00855DD6"/>
    <w:rsid w:val="00856C09"/>
    <w:rsid w:val="008602F7"/>
    <w:rsid w:val="00863B63"/>
    <w:rsid w:val="00872AE0"/>
    <w:rsid w:val="00877473"/>
    <w:rsid w:val="00885895"/>
    <w:rsid w:val="008A2DE8"/>
    <w:rsid w:val="008B454A"/>
    <w:rsid w:val="008B7C95"/>
    <w:rsid w:val="008D1E61"/>
    <w:rsid w:val="008D35C3"/>
    <w:rsid w:val="008E6459"/>
    <w:rsid w:val="008F0438"/>
    <w:rsid w:val="008F3143"/>
    <w:rsid w:val="00912122"/>
    <w:rsid w:val="00915247"/>
    <w:rsid w:val="0091629A"/>
    <w:rsid w:val="00925FB2"/>
    <w:rsid w:val="0092680A"/>
    <w:rsid w:val="009406B9"/>
    <w:rsid w:val="009445EF"/>
    <w:rsid w:val="00950001"/>
    <w:rsid w:val="00961FAD"/>
    <w:rsid w:val="0096239F"/>
    <w:rsid w:val="00965525"/>
    <w:rsid w:val="00970F43"/>
    <w:rsid w:val="0097505D"/>
    <w:rsid w:val="00983C74"/>
    <w:rsid w:val="00984264"/>
    <w:rsid w:val="009849B7"/>
    <w:rsid w:val="00990C80"/>
    <w:rsid w:val="00991650"/>
    <w:rsid w:val="00994909"/>
    <w:rsid w:val="009969BA"/>
    <w:rsid w:val="009A69A4"/>
    <w:rsid w:val="009B1729"/>
    <w:rsid w:val="009B5706"/>
    <w:rsid w:val="009C16E4"/>
    <w:rsid w:val="009D0ECB"/>
    <w:rsid w:val="009E170A"/>
    <w:rsid w:val="009E3552"/>
    <w:rsid w:val="009F34B1"/>
    <w:rsid w:val="00A01F3C"/>
    <w:rsid w:val="00A14BE1"/>
    <w:rsid w:val="00A25D1A"/>
    <w:rsid w:val="00A3025A"/>
    <w:rsid w:val="00A35E4E"/>
    <w:rsid w:val="00A3778A"/>
    <w:rsid w:val="00A3778D"/>
    <w:rsid w:val="00A42C9F"/>
    <w:rsid w:val="00A54A9E"/>
    <w:rsid w:val="00A5601F"/>
    <w:rsid w:val="00A575F1"/>
    <w:rsid w:val="00A600D0"/>
    <w:rsid w:val="00A60838"/>
    <w:rsid w:val="00A617EE"/>
    <w:rsid w:val="00A63333"/>
    <w:rsid w:val="00A875DD"/>
    <w:rsid w:val="00A943EC"/>
    <w:rsid w:val="00A94E01"/>
    <w:rsid w:val="00A94FAB"/>
    <w:rsid w:val="00A97198"/>
    <w:rsid w:val="00A97D82"/>
    <w:rsid w:val="00AD0158"/>
    <w:rsid w:val="00AF416A"/>
    <w:rsid w:val="00AF6FE4"/>
    <w:rsid w:val="00AF7691"/>
    <w:rsid w:val="00B10D98"/>
    <w:rsid w:val="00B13088"/>
    <w:rsid w:val="00B13374"/>
    <w:rsid w:val="00B205A1"/>
    <w:rsid w:val="00B25766"/>
    <w:rsid w:val="00B27E01"/>
    <w:rsid w:val="00B42D3B"/>
    <w:rsid w:val="00B52E41"/>
    <w:rsid w:val="00B567DB"/>
    <w:rsid w:val="00B569AC"/>
    <w:rsid w:val="00B70052"/>
    <w:rsid w:val="00B85F24"/>
    <w:rsid w:val="00B87CC9"/>
    <w:rsid w:val="00B92FEE"/>
    <w:rsid w:val="00B93E04"/>
    <w:rsid w:val="00BA0866"/>
    <w:rsid w:val="00BA1F0B"/>
    <w:rsid w:val="00BA5152"/>
    <w:rsid w:val="00BA7D11"/>
    <w:rsid w:val="00BB08BB"/>
    <w:rsid w:val="00BB1463"/>
    <w:rsid w:val="00BD1581"/>
    <w:rsid w:val="00BE25A0"/>
    <w:rsid w:val="00BE3E83"/>
    <w:rsid w:val="00BF1A4B"/>
    <w:rsid w:val="00BF4B6B"/>
    <w:rsid w:val="00C14165"/>
    <w:rsid w:val="00C22A10"/>
    <w:rsid w:val="00C363C2"/>
    <w:rsid w:val="00C3742A"/>
    <w:rsid w:val="00C43DC5"/>
    <w:rsid w:val="00C4523C"/>
    <w:rsid w:val="00C67026"/>
    <w:rsid w:val="00C67A8F"/>
    <w:rsid w:val="00C73BDE"/>
    <w:rsid w:val="00C76A7D"/>
    <w:rsid w:val="00C8408F"/>
    <w:rsid w:val="00C85928"/>
    <w:rsid w:val="00C96A3A"/>
    <w:rsid w:val="00CA2C24"/>
    <w:rsid w:val="00CA40EA"/>
    <w:rsid w:val="00CD30AB"/>
    <w:rsid w:val="00CE330A"/>
    <w:rsid w:val="00D049DA"/>
    <w:rsid w:val="00D06AF6"/>
    <w:rsid w:val="00D15B01"/>
    <w:rsid w:val="00D168BD"/>
    <w:rsid w:val="00D1758C"/>
    <w:rsid w:val="00D233A3"/>
    <w:rsid w:val="00D249BB"/>
    <w:rsid w:val="00D26A40"/>
    <w:rsid w:val="00D27C31"/>
    <w:rsid w:val="00D31A7B"/>
    <w:rsid w:val="00D35D01"/>
    <w:rsid w:val="00D37B0E"/>
    <w:rsid w:val="00D441A3"/>
    <w:rsid w:val="00D51AB7"/>
    <w:rsid w:val="00D544C6"/>
    <w:rsid w:val="00D615C5"/>
    <w:rsid w:val="00D62196"/>
    <w:rsid w:val="00D67CE4"/>
    <w:rsid w:val="00D731C3"/>
    <w:rsid w:val="00D77996"/>
    <w:rsid w:val="00D8000E"/>
    <w:rsid w:val="00D83009"/>
    <w:rsid w:val="00D83289"/>
    <w:rsid w:val="00D85B2D"/>
    <w:rsid w:val="00D9486D"/>
    <w:rsid w:val="00DB05B0"/>
    <w:rsid w:val="00DB1C9D"/>
    <w:rsid w:val="00DB3D30"/>
    <w:rsid w:val="00DC5913"/>
    <w:rsid w:val="00DD7501"/>
    <w:rsid w:val="00DE3B99"/>
    <w:rsid w:val="00DF4FDF"/>
    <w:rsid w:val="00DF5A69"/>
    <w:rsid w:val="00E04CAA"/>
    <w:rsid w:val="00E06F7F"/>
    <w:rsid w:val="00E14277"/>
    <w:rsid w:val="00E20BE1"/>
    <w:rsid w:val="00E26BBA"/>
    <w:rsid w:val="00E32A64"/>
    <w:rsid w:val="00E3363D"/>
    <w:rsid w:val="00E4757E"/>
    <w:rsid w:val="00E52DA1"/>
    <w:rsid w:val="00E56DC8"/>
    <w:rsid w:val="00E57FE7"/>
    <w:rsid w:val="00E70239"/>
    <w:rsid w:val="00E74C3C"/>
    <w:rsid w:val="00E8422E"/>
    <w:rsid w:val="00E91813"/>
    <w:rsid w:val="00E93D01"/>
    <w:rsid w:val="00E950DC"/>
    <w:rsid w:val="00E96ADB"/>
    <w:rsid w:val="00E97309"/>
    <w:rsid w:val="00E97FD5"/>
    <w:rsid w:val="00EA5C11"/>
    <w:rsid w:val="00EB31C9"/>
    <w:rsid w:val="00EC1AE5"/>
    <w:rsid w:val="00EC3AA4"/>
    <w:rsid w:val="00EC5CB7"/>
    <w:rsid w:val="00ED0B42"/>
    <w:rsid w:val="00ED754F"/>
    <w:rsid w:val="00EE0605"/>
    <w:rsid w:val="00EE328D"/>
    <w:rsid w:val="00EE3CEE"/>
    <w:rsid w:val="00EF343D"/>
    <w:rsid w:val="00EF590E"/>
    <w:rsid w:val="00EF5FD3"/>
    <w:rsid w:val="00F00F48"/>
    <w:rsid w:val="00F03AB7"/>
    <w:rsid w:val="00F144AC"/>
    <w:rsid w:val="00F16573"/>
    <w:rsid w:val="00F252A6"/>
    <w:rsid w:val="00F352DA"/>
    <w:rsid w:val="00F3673C"/>
    <w:rsid w:val="00F4476D"/>
    <w:rsid w:val="00F50A08"/>
    <w:rsid w:val="00F50A0E"/>
    <w:rsid w:val="00F57A0B"/>
    <w:rsid w:val="00F639D6"/>
    <w:rsid w:val="00F712F6"/>
    <w:rsid w:val="00F73367"/>
    <w:rsid w:val="00F85063"/>
    <w:rsid w:val="00F9325B"/>
    <w:rsid w:val="00F97544"/>
    <w:rsid w:val="00FA2AE8"/>
    <w:rsid w:val="00FA2F22"/>
    <w:rsid w:val="00FA3978"/>
    <w:rsid w:val="00FA78B2"/>
    <w:rsid w:val="00FB078F"/>
    <w:rsid w:val="00FB0ADF"/>
    <w:rsid w:val="00FC1058"/>
    <w:rsid w:val="00FC41C3"/>
    <w:rsid w:val="00FD2DD4"/>
    <w:rsid w:val="00FD669C"/>
    <w:rsid w:val="00FE0FC9"/>
    <w:rsid w:val="00FE60D4"/>
    <w:rsid w:val="00FE74BA"/>
    <w:rsid w:val="00FF5F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1C16CEB-6573-4092-A6B1-551FE3FF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2467</Words>
  <Characters>14067</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16501</CharactersWithSpaces>
  <SharedDoc>false</SharedDoc>
  <HLinks>
    <vt:vector size="216" baseType="variant">
      <vt:variant>
        <vt:i4>393283</vt:i4>
      </vt:variant>
      <vt:variant>
        <vt:i4>204</vt:i4>
      </vt:variant>
      <vt:variant>
        <vt:i4>0</vt:i4>
      </vt:variant>
      <vt:variant>
        <vt:i4>5</vt:i4>
      </vt:variant>
      <vt:variant>
        <vt:lpwstr>http://www.nevo.co.il/advertisements/nevo-100.doc</vt:lpwstr>
      </vt:variant>
      <vt:variant>
        <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5701641</vt:i4>
      </vt:variant>
      <vt:variant>
        <vt:i4>144</vt:i4>
      </vt:variant>
      <vt:variant>
        <vt:i4>0</vt:i4>
      </vt:variant>
      <vt:variant>
        <vt:i4>5</vt:i4>
      </vt:variant>
      <vt:variant>
        <vt:lpwstr/>
      </vt:variant>
      <vt:variant>
        <vt:lpwstr>med2</vt:lpwstr>
      </vt:variant>
      <vt:variant>
        <vt:i4>3211304</vt:i4>
      </vt:variant>
      <vt:variant>
        <vt:i4>138</vt:i4>
      </vt:variant>
      <vt:variant>
        <vt:i4>0</vt:i4>
      </vt:variant>
      <vt:variant>
        <vt:i4>5</vt:i4>
      </vt:variant>
      <vt:variant>
        <vt:lpwstr/>
      </vt:variant>
      <vt:variant>
        <vt:lpwstr>Seif22</vt:lpwstr>
      </vt:variant>
      <vt:variant>
        <vt:i4>5505033</vt:i4>
      </vt:variant>
      <vt:variant>
        <vt:i4>132</vt:i4>
      </vt:variant>
      <vt:variant>
        <vt:i4>0</vt:i4>
      </vt:variant>
      <vt:variant>
        <vt:i4>5</vt:i4>
      </vt:variant>
      <vt:variant>
        <vt:lpwstr/>
      </vt:variant>
      <vt:variant>
        <vt:lpwstr>med1</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1900669</vt:i4>
      </vt:variant>
      <vt:variant>
        <vt:i4>0</vt:i4>
      </vt:variant>
      <vt:variant>
        <vt:i4>0</vt:i4>
      </vt:variant>
      <vt:variant>
        <vt:i4>5</vt:i4>
      </vt:variant>
      <vt:variant>
        <vt:lpwstr>http://www.nevo.co.il/Law_word/law70/zava-0242.pdf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הרשות לכבאות והצלה (יהודה והשומרון) (מס' 1742), תשע"ד-2014</vt:lpwstr>
  </property>
  <property fmtid="{D5CDD505-2E9C-101B-9397-08002B2CF9AE}" pid="4" name="LAWNUMBER">
    <vt:lpwstr>0068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http://www.nevo.co.il/Law_word/law70/zava-0242.pdf;‎קמצ"מ#פורסם קובץ המנשרים מס' 242 ‏‏#מחודש אוקטובר 2014 עמ' 1780‏</vt:lpwstr>
  </property>
</Properties>
</file>