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EF4" w:rsidRDefault="00221EF4">
      <w:pPr>
        <w:pStyle w:val="big-header"/>
        <w:ind w:left="0" w:right="1134"/>
        <w:rPr>
          <w:rFonts w:cs="FrankRuehl" w:hint="cs"/>
          <w:sz w:val="32"/>
          <w:rtl/>
        </w:rPr>
      </w:pPr>
      <w:r>
        <w:rPr>
          <w:rFonts w:cs="FrankRuehl" w:hint="cs"/>
          <w:sz w:val="32"/>
          <w:rtl/>
        </w:rPr>
        <w:t>יהודה והשומרון</w:t>
      </w:r>
    </w:p>
    <w:p w:rsidR="00221EF4" w:rsidRDefault="00221EF4">
      <w:pPr>
        <w:pStyle w:val="big-header"/>
        <w:ind w:left="0" w:right="1134"/>
        <w:rPr>
          <w:rFonts w:cs="FrankRuehl" w:hint="cs"/>
          <w:sz w:val="32"/>
          <w:rtl/>
        </w:rPr>
      </w:pPr>
      <w:r>
        <w:rPr>
          <w:rFonts w:cs="FrankRuehl" w:hint="cs"/>
          <w:sz w:val="32"/>
          <w:rtl/>
        </w:rPr>
        <w:t>צו בדבר חוק הנוער (יהודה והשומרון) (מס' 1559), תשס"ה-2005</w:t>
      </w:r>
    </w:p>
    <w:p w:rsidR="00221EF4" w:rsidRDefault="00221EF4">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59A3" w:rsidRPr="003A59A3">
        <w:tblPrEx>
          <w:tblCellMar>
            <w:top w:w="0" w:type="dxa"/>
            <w:bottom w:w="0" w:type="dxa"/>
          </w:tblCellMar>
        </w:tblPrEx>
        <w:tc>
          <w:tcPr>
            <w:tcW w:w="1247" w:type="dxa"/>
          </w:tcPr>
          <w:p w:rsidR="003A59A3" w:rsidRPr="003A59A3" w:rsidRDefault="003A59A3" w:rsidP="003A59A3">
            <w:pPr>
              <w:rPr>
                <w:rFonts w:cs="Frankruhel" w:hint="cs"/>
                <w:rtl/>
              </w:rPr>
            </w:pPr>
            <w:r>
              <w:rPr>
                <w:rtl/>
              </w:rPr>
              <w:t xml:space="preserve">סעיף 1 </w:t>
            </w:r>
          </w:p>
        </w:tc>
        <w:tc>
          <w:tcPr>
            <w:tcW w:w="5669" w:type="dxa"/>
          </w:tcPr>
          <w:p w:rsidR="003A59A3" w:rsidRPr="003A59A3" w:rsidRDefault="003A59A3" w:rsidP="003A59A3">
            <w:pPr>
              <w:rPr>
                <w:rFonts w:cs="Frankruhel" w:hint="cs"/>
                <w:rtl/>
              </w:rPr>
            </w:pPr>
            <w:r>
              <w:rPr>
                <w:rtl/>
              </w:rPr>
              <w:t>הגדרות</w:t>
            </w:r>
          </w:p>
        </w:tc>
        <w:tc>
          <w:tcPr>
            <w:tcW w:w="567" w:type="dxa"/>
          </w:tcPr>
          <w:p w:rsidR="003A59A3" w:rsidRPr="003A59A3" w:rsidRDefault="003A59A3" w:rsidP="003A59A3">
            <w:pPr>
              <w:rPr>
                <w:rStyle w:val="Hyperlink"/>
                <w:rFonts w:hint="cs"/>
                <w:rtl/>
              </w:rPr>
            </w:pPr>
            <w:hyperlink w:anchor="Seif1" w:tooltip="הגדרות" w:history="1">
              <w:r w:rsidRPr="003A59A3">
                <w:rPr>
                  <w:rStyle w:val="Hyperlink"/>
                </w:rPr>
                <w:t>Go</w:t>
              </w:r>
            </w:hyperlink>
          </w:p>
        </w:tc>
        <w:tc>
          <w:tcPr>
            <w:tcW w:w="850" w:type="dxa"/>
          </w:tcPr>
          <w:p w:rsidR="003A59A3" w:rsidRPr="003A59A3" w:rsidRDefault="003A59A3" w:rsidP="003A59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A59A3" w:rsidRPr="003A59A3">
        <w:tblPrEx>
          <w:tblCellMar>
            <w:top w:w="0" w:type="dxa"/>
            <w:bottom w:w="0" w:type="dxa"/>
          </w:tblCellMar>
        </w:tblPrEx>
        <w:tc>
          <w:tcPr>
            <w:tcW w:w="1247" w:type="dxa"/>
          </w:tcPr>
          <w:p w:rsidR="003A59A3" w:rsidRPr="003A59A3" w:rsidRDefault="003A59A3" w:rsidP="003A59A3">
            <w:pPr>
              <w:rPr>
                <w:rFonts w:cs="Frankruhel" w:hint="cs"/>
                <w:rtl/>
              </w:rPr>
            </w:pPr>
            <w:r>
              <w:rPr>
                <w:rtl/>
              </w:rPr>
              <w:t xml:space="preserve">סעיף 2 </w:t>
            </w:r>
          </w:p>
        </w:tc>
        <w:tc>
          <w:tcPr>
            <w:tcW w:w="5669" w:type="dxa"/>
          </w:tcPr>
          <w:p w:rsidR="003A59A3" w:rsidRPr="003A59A3" w:rsidRDefault="003A59A3" w:rsidP="003A59A3">
            <w:pPr>
              <w:rPr>
                <w:rFonts w:cs="Frankruhel" w:hint="cs"/>
                <w:rtl/>
              </w:rPr>
            </w:pPr>
            <w:r>
              <w:rPr>
                <w:rtl/>
              </w:rPr>
              <w:t>הסמכת פקידי סעד</w:t>
            </w:r>
          </w:p>
        </w:tc>
        <w:tc>
          <w:tcPr>
            <w:tcW w:w="567" w:type="dxa"/>
          </w:tcPr>
          <w:p w:rsidR="003A59A3" w:rsidRPr="003A59A3" w:rsidRDefault="003A59A3" w:rsidP="003A59A3">
            <w:pPr>
              <w:rPr>
                <w:rStyle w:val="Hyperlink"/>
                <w:rFonts w:hint="cs"/>
                <w:rtl/>
              </w:rPr>
            </w:pPr>
            <w:hyperlink w:anchor="Seif2" w:tooltip="הסמכת פקידי סעד" w:history="1">
              <w:r w:rsidRPr="003A59A3">
                <w:rPr>
                  <w:rStyle w:val="Hyperlink"/>
                </w:rPr>
                <w:t>Go</w:t>
              </w:r>
            </w:hyperlink>
          </w:p>
        </w:tc>
        <w:tc>
          <w:tcPr>
            <w:tcW w:w="850" w:type="dxa"/>
          </w:tcPr>
          <w:p w:rsidR="003A59A3" w:rsidRPr="003A59A3" w:rsidRDefault="003A59A3" w:rsidP="003A59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A59A3" w:rsidRPr="003A59A3">
        <w:tblPrEx>
          <w:tblCellMar>
            <w:top w:w="0" w:type="dxa"/>
            <w:bottom w:w="0" w:type="dxa"/>
          </w:tblCellMar>
        </w:tblPrEx>
        <w:tc>
          <w:tcPr>
            <w:tcW w:w="1247" w:type="dxa"/>
          </w:tcPr>
          <w:p w:rsidR="003A59A3" w:rsidRPr="003A59A3" w:rsidRDefault="003A59A3" w:rsidP="003A59A3">
            <w:pPr>
              <w:rPr>
                <w:rFonts w:cs="Frankruhel" w:hint="cs"/>
                <w:rtl/>
              </w:rPr>
            </w:pPr>
            <w:r>
              <w:rPr>
                <w:rtl/>
              </w:rPr>
              <w:t xml:space="preserve">סעיף 3 </w:t>
            </w:r>
          </w:p>
        </w:tc>
        <w:tc>
          <w:tcPr>
            <w:tcW w:w="5669" w:type="dxa"/>
          </w:tcPr>
          <w:p w:rsidR="003A59A3" w:rsidRPr="003A59A3" w:rsidRDefault="003A59A3" w:rsidP="003A59A3">
            <w:pPr>
              <w:rPr>
                <w:rFonts w:cs="Frankruhel" w:hint="cs"/>
                <w:rtl/>
              </w:rPr>
            </w:pPr>
            <w:r>
              <w:rPr>
                <w:rtl/>
              </w:rPr>
              <w:t>הסמכת בית המשפט לעניינים מקומיים</w:t>
            </w:r>
          </w:p>
        </w:tc>
        <w:tc>
          <w:tcPr>
            <w:tcW w:w="567" w:type="dxa"/>
          </w:tcPr>
          <w:p w:rsidR="003A59A3" w:rsidRPr="003A59A3" w:rsidRDefault="003A59A3" w:rsidP="003A59A3">
            <w:pPr>
              <w:rPr>
                <w:rStyle w:val="Hyperlink"/>
                <w:rFonts w:hint="cs"/>
                <w:rtl/>
              </w:rPr>
            </w:pPr>
            <w:hyperlink w:anchor="Seif3" w:tooltip="הסמכת בית המשפט לעניינים מקומיים" w:history="1">
              <w:r w:rsidRPr="003A59A3">
                <w:rPr>
                  <w:rStyle w:val="Hyperlink"/>
                </w:rPr>
                <w:t>Go</w:t>
              </w:r>
            </w:hyperlink>
          </w:p>
        </w:tc>
        <w:tc>
          <w:tcPr>
            <w:tcW w:w="850" w:type="dxa"/>
          </w:tcPr>
          <w:p w:rsidR="003A59A3" w:rsidRPr="003A59A3" w:rsidRDefault="003A59A3" w:rsidP="003A59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A59A3" w:rsidRPr="003A59A3">
        <w:tblPrEx>
          <w:tblCellMar>
            <w:top w:w="0" w:type="dxa"/>
            <w:bottom w:w="0" w:type="dxa"/>
          </w:tblCellMar>
        </w:tblPrEx>
        <w:tc>
          <w:tcPr>
            <w:tcW w:w="1247" w:type="dxa"/>
          </w:tcPr>
          <w:p w:rsidR="003A59A3" w:rsidRPr="003A59A3" w:rsidRDefault="003A59A3" w:rsidP="003A59A3">
            <w:pPr>
              <w:rPr>
                <w:rFonts w:cs="Frankruhel" w:hint="cs"/>
                <w:rtl/>
              </w:rPr>
            </w:pPr>
            <w:r>
              <w:rPr>
                <w:rtl/>
              </w:rPr>
              <w:t xml:space="preserve">סעיף 4 </w:t>
            </w:r>
          </w:p>
        </w:tc>
        <w:tc>
          <w:tcPr>
            <w:tcW w:w="5669" w:type="dxa"/>
          </w:tcPr>
          <w:p w:rsidR="003A59A3" w:rsidRPr="003A59A3" w:rsidRDefault="003A59A3" w:rsidP="003A59A3">
            <w:pPr>
              <w:rPr>
                <w:rFonts w:cs="Frankruhel" w:hint="cs"/>
                <w:rtl/>
              </w:rPr>
            </w:pPr>
            <w:r>
              <w:rPr>
                <w:rtl/>
              </w:rPr>
              <w:t>הסמכת ערכאת ערעור</w:t>
            </w:r>
          </w:p>
        </w:tc>
        <w:tc>
          <w:tcPr>
            <w:tcW w:w="567" w:type="dxa"/>
          </w:tcPr>
          <w:p w:rsidR="003A59A3" w:rsidRPr="003A59A3" w:rsidRDefault="003A59A3" w:rsidP="003A59A3">
            <w:pPr>
              <w:rPr>
                <w:rStyle w:val="Hyperlink"/>
                <w:rFonts w:hint="cs"/>
                <w:rtl/>
              </w:rPr>
            </w:pPr>
            <w:hyperlink w:anchor="Seif4" w:tooltip="הסמכת ערכאת ערעור" w:history="1">
              <w:r w:rsidRPr="003A59A3">
                <w:rPr>
                  <w:rStyle w:val="Hyperlink"/>
                </w:rPr>
                <w:t>Go</w:t>
              </w:r>
            </w:hyperlink>
          </w:p>
        </w:tc>
        <w:tc>
          <w:tcPr>
            <w:tcW w:w="850" w:type="dxa"/>
          </w:tcPr>
          <w:p w:rsidR="003A59A3" w:rsidRPr="003A59A3" w:rsidRDefault="003A59A3" w:rsidP="003A59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A59A3" w:rsidRPr="003A59A3">
        <w:tblPrEx>
          <w:tblCellMar>
            <w:top w:w="0" w:type="dxa"/>
            <w:bottom w:w="0" w:type="dxa"/>
          </w:tblCellMar>
        </w:tblPrEx>
        <w:tc>
          <w:tcPr>
            <w:tcW w:w="1247" w:type="dxa"/>
          </w:tcPr>
          <w:p w:rsidR="003A59A3" w:rsidRPr="003A59A3" w:rsidRDefault="003A59A3" w:rsidP="003A59A3">
            <w:pPr>
              <w:rPr>
                <w:rFonts w:cs="Frankruhel" w:hint="cs"/>
                <w:rtl/>
              </w:rPr>
            </w:pPr>
            <w:r>
              <w:rPr>
                <w:rtl/>
              </w:rPr>
              <w:t xml:space="preserve">סעיף 5 </w:t>
            </w:r>
          </w:p>
        </w:tc>
        <w:tc>
          <w:tcPr>
            <w:tcW w:w="5669" w:type="dxa"/>
          </w:tcPr>
          <w:p w:rsidR="003A59A3" w:rsidRPr="003A59A3" w:rsidRDefault="003A59A3" w:rsidP="003A59A3">
            <w:pPr>
              <w:rPr>
                <w:rFonts w:cs="Frankruhel" w:hint="cs"/>
                <w:rtl/>
              </w:rPr>
            </w:pPr>
            <w:r>
              <w:rPr>
                <w:rtl/>
              </w:rPr>
              <w:t>סמכות מקומית</w:t>
            </w:r>
          </w:p>
        </w:tc>
        <w:tc>
          <w:tcPr>
            <w:tcW w:w="567" w:type="dxa"/>
          </w:tcPr>
          <w:p w:rsidR="003A59A3" w:rsidRPr="003A59A3" w:rsidRDefault="003A59A3" w:rsidP="003A59A3">
            <w:pPr>
              <w:rPr>
                <w:rStyle w:val="Hyperlink"/>
                <w:rFonts w:hint="cs"/>
                <w:rtl/>
              </w:rPr>
            </w:pPr>
            <w:hyperlink w:anchor="Seif5" w:tooltip="סמכות מקומית" w:history="1">
              <w:r w:rsidRPr="003A59A3">
                <w:rPr>
                  <w:rStyle w:val="Hyperlink"/>
                </w:rPr>
                <w:t>Go</w:t>
              </w:r>
            </w:hyperlink>
          </w:p>
        </w:tc>
        <w:tc>
          <w:tcPr>
            <w:tcW w:w="850" w:type="dxa"/>
          </w:tcPr>
          <w:p w:rsidR="003A59A3" w:rsidRPr="003A59A3" w:rsidRDefault="003A59A3" w:rsidP="003A59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A59A3" w:rsidRPr="003A59A3">
        <w:tblPrEx>
          <w:tblCellMar>
            <w:top w:w="0" w:type="dxa"/>
            <w:bottom w:w="0" w:type="dxa"/>
          </w:tblCellMar>
        </w:tblPrEx>
        <w:tc>
          <w:tcPr>
            <w:tcW w:w="1247" w:type="dxa"/>
          </w:tcPr>
          <w:p w:rsidR="003A59A3" w:rsidRPr="003A59A3" w:rsidRDefault="003A59A3" w:rsidP="003A59A3">
            <w:pPr>
              <w:rPr>
                <w:rFonts w:cs="Frankruhel" w:hint="cs"/>
                <w:rtl/>
              </w:rPr>
            </w:pPr>
            <w:r>
              <w:rPr>
                <w:rtl/>
              </w:rPr>
              <w:t xml:space="preserve">סעיף 6 </w:t>
            </w:r>
          </w:p>
        </w:tc>
        <w:tc>
          <w:tcPr>
            <w:tcW w:w="5669" w:type="dxa"/>
          </w:tcPr>
          <w:p w:rsidR="003A59A3" w:rsidRPr="003A59A3" w:rsidRDefault="003A59A3" w:rsidP="003A59A3">
            <w:pPr>
              <w:rPr>
                <w:rFonts w:cs="Frankruhel" w:hint="cs"/>
                <w:rtl/>
              </w:rPr>
            </w:pPr>
            <w:r>
              <w:rPr>
                <w:rtl/>
              </w:rPr>
              <w:t>הוראות שונות</w:t>
            </w:r>
          </w:p>
        </w:tc>
        <w:tc>
          <w:tcPr>
            <w:tcW w:w="567" w:type="dxa"/>
          </w:tcPr>
          <w:p w:rsidR="003A59A3" w:rsidRPr="003A59A3" w:rsidRDefault="003A59A3" w:rsidP="003A59A3">
            <w:pPr>
              <w:rPr>
                <w:rStyle w:val="Hyperlink"/>
                <w:rFonts w:hint="cs"/>
                <w:rtl/>
              </w:rPr>
            </w:pPr>
            <w:hyperlink w:anchor="Seif6" w:tooltip="הוראות שונות" w:history="1">
              <w:r w:rsidRPr="003A59A3">
                <w:rPr>
                  <w:rStyle w:val="Hyperlink"/>
                </w:rPr>
                <w:t>Go</w:t>
              </w:r>
            </w:hyperlink>
          </w:p>
        </w:tc>
        <w:tc>
          <w:tcPr>
            <w:tcW w:w="850" w:type="dxa"/>
          </w:tcPr>
          <w:p w:rsidR="003A59A3" w:rsidRPr="003A59A3" w:rsidRDefault="003A59A3" w:rsidP="003A59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3A59A3" w:rsidRPr="003A59A3">
        <w:tblPrEx>
          <w:tblCellMar>
            <w:top w:w="0" w:type="dxa"/>
            <w:bottom w:w="0" w:type="dxa"/>
          </w:tblCellMar>
        </w:tblPrEx>
        <w:tc>
          <w:tcPr>
            <w:tcW w:w="1247" w:type="dxa"/>
          </w:tcPr>
          <w:p w:rsidR="003A59A3" w:rsidRPr="003A59A3" w:rsidRDefault="003A59A3" w:rsidP="003A59A3">
            <w:pPr>
              <w:rPr>
                <w:rFonts w:cs="Frankruhel" w:hint="cs"/>
                <w:rtl/>
              </w:rPr>
            </w:pPr>
            <w:r>
              <w:rPr>
                <w:rtl/>
              </w:rPr>
              <w:t xml:space="preserve">סעיף 4 </w:t>
            </w:r>
          </w:p>
        </w:tc>
        <w:tc>
          <w:tcPr>
            <w:tcW w:w="5669" w:type="dxa"/>
          </w:tcPr>
          <w:p w:rsidR="003A59A3" w:rsidRPr="003A59A3" w:rsidRDefault="003A59A3" w:rsidP="003A59A3">
            <w:pPr>
              <w:rPr>
                <w:rFonts w:cs="Frankruhel" w:hint="cs"/>
                <w:rtl/>
              </w:rPr>
            </w:pPr>
            <w:r>
              <w:rPr>
                <w:rtl/>
              </w:rPr>
              <w:t>תחילת תוקף</w:t>
            </w:r>
          </w:p>
        </w:tc>
        <w:tc>
          <w:tcPr>
            <w:tcW w:w="567" w:type="dxa"/>
          </w:tcPr>
          <w:p w:rsidR="003A59A3" w:rsidRPr="003A59A3" w:rsidRDefault="003A59A3" w:rsidP="003A59A3">
            <w:pPr>
              <w:rPr>
                <w:rStyle w:val="Hyperlink"/>
                <w:rFonts w:hint="cs"/>
                <w:rtl/>
              </w:rPr>
            </w:pPr>
            <w:hyperlink w:anchor="Seif7" w:tooltip="תחילת תוקף" w:history="1">
              <w:r w:rsidRPr="003A59A3">
                <w:rPr>
                  <w:rStyle w:val="Hyperlink"/>
                </w:rPr>
                <w:t>Go</w:t>
              </w:r>
            </w:hyperlink>
          </w:p>
        </w:tc>
        <w:tc>
          <w:tcPr>
            <w:tcW w:w="850" w:type="dxa"/>
          </w:tcPr>
          <w:p w:rsidR="003A59A3" w:rsidRPr="003A59A3" w:rsidRDefault="003A59A3" w:rsidP="003A59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3A59A3" w:rsidRPr="003A59A3">
        <w:tblPrEx>
          <w:tblCellMar>
            <w:top w:w="0" w:type="dxa"/>
            <w:bottom w:w="0" w:type="dxa"/>
          </w:tblCellMar>
        </w:tblPrEx>
        <w:tc>
          <w:tcPr>
            <w:tcW w:w="1247" w:type="dxa"/>
          </w:tcPr>
          <w:p w:rsidR="003A59A3" w:rsidRPr="003A59A3" w:rsidRDefault="003A59A3" w:rsidP="003A59A3">
            <w:pPr>
              <w:rPr>
                <w:rFonts w:cs="Frankruhel" w:hint="cs"/>
                <w:rtl/>
              </w:rPr>
            </w:pPr>
            <w:r>
              <w:rPr>
                <w:rtl/>
              </w:rPr>
              <w:t xml:space="preserve">סעיף 5 </w:t>
            </w:r>
          </w:p>
        </w:tc>
        <w:tc>
          <w:tcPr>
            <w:tcW w:w="5669" w:type="dxa"/>
          </w:tcPr>
          <w:p w:rsidR="003A59A3" w:rsidRPr="003A59A3" w:rsidRDefault="003A59A3" w:rsidP="003A59A3">
            <w:pPr>
              <w:rPr>
                <w:rFonts w:cs="Frankruhel" w:hint="cs"/>
                <w:rtl/>
              </w:rPr>
            </w:pPr>
            <w:r>
              <w:rPr>
                <w:rtl/>
              </w:rPr>
              <w:t>השם</w:t>
            </w:r>
          </w:p>
        </w:tc>
        <w:tc>
          <w:tcPr>
            <w:tcW w:w="567" w:type="dxa"/>
          </w:tcPr>
          <w:p w:rsidR="003A59A3" w:rsidRPr="003A59A3" w:rsidRDefault="003A59A3" w:rsidP="003A59A3">
            <w:pPr>
              <w:rPr>
                <w:rStyle w:val="Hyperlink"/>
                <w:rFonts w:hint="cs"/>
                <w:rtl/>
              </w:rPr>
            </w:pPr>
            <w:hyperlink w:anchor="Seif8" w:tooltip="השם" w:history="1">
              <w:r w:rsidRPr="003A59A3">
                <w:rPr>
                  <w:rStyle w:val="Hyperlink"/>
                </w:rPr>
                <w:t>Go</w:t>
              </w:r>
            </w:hyperlink>
          </w:p>
        </w:tc>
        <w:tc>
          <w:tcPr>
            <w:tcW w:w="850" w:type="dxa"/>
          </w:tcPr>
          <w:p w:rsidR="003A59A3" w:rsidRPr="003A59A3" w:rsidRDefault="003A59A3" w:rsidP="003A59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rsidR="00221EF4" w:rsidRDefault="00221EF4">
      <w:pPr>
        <w:pStyle w:val="big-header"/>
        <w:ind w:left="0" w:right="1134"/>
        <w:rPr>
          <w:rFonts w:cs="FrankRuehl" w:hint="cs"/>
          <w:sz w:val="32"/>
          <w:rtl/>
        </w:rPr>
      </w:pPr>
    </w:p>
    <w:p w:rsidR="00221EF4" w:rsidRDefault="00221EF4">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221EF4" w:rsidRDefault="00221EF4">
      <w:pPr>
        <w:pStyle w:val="big-header"/>
        <w:ind w:left="0" w:right="1134"/>
        <w:rPr>
          <w:rStyle w:val="default"/>
          <w:rFonts w:hint="cs"/>
          <w:sz w:val="22"/>
          <w:szCs w:val="22"/>
          <w:rtl/>
        </w:rPr>
      </w:pPr>
      <w:r>
        <w:rPr>
          <w:rFonts w:cs="FrankRuehl" w:hint="cs"/>
          <w:sz w:val="32"/>
          <w:rtl/>
        </w:rPr>
        <w:t>צו בדבר חוק הנוער (יהודה והשומרון) (מס' 1559), תשס"ה-2005</w:t>
      </w:r>
      <w:r>
        <w:rPr>
          <w:rStyle w:val="default"/>
          <w:sz w:val="22"/>
          <w:szCs w:val="22"/>
          <w:rtl/>
        </w:rPr>
        <w:footnoteReference w:customMarkFollows="1" w:id="1"/>
        <w:t>*</w:t>
      </w:r>
    </w:p>
    <w:p w:rsidR="00221EF4" w:rsidRDefault="00221EF4">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w:t>
      </w:r>
      <w:r>
        <w:rPr>
          <w:rStyle w:val="default"/>
          <w:rFonts w:cs="FrankRuehl" w:hint="cs"/>
          <w:rtl/>
        </w:rPr>
        <w:t>כמפקד כוחות צה"ל באזור והואיל והנני סבור כי הדבר דרוש לקיום ממשל תקין, לרווחת ולהגנת הקטינים באיזור, להגנה על שלטון החוק ולשמירה על הסדר הציבורי, הנני מורה בזאת לאמור:</w:t>
      </w:r>
    </w:p>
    <w:p w:rsidR="00221EF4" w:rsidRDefault="00221EF4">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6.95pt;z-index:251654144" o:allowincell="f" filled="f" stroked="f" strokecolor="lime" strokeweight=".25pt">
            <v:textbox style="mso-next-textbox:#_x0000_s1026" inset="0,0,0,0">
              <w:txbxContent>
                <w:p w:rsidR="00221EF4" w:rsidRDefault="00221EF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221EF4" w:rsidRDefault="00221EF4">
      <w:pPr>
        <w:pStyle w:val="P00"/>
        <w:spacing w:before="72"/>
        <w:ind w:left="0" w:right="1134"/>
        <w:rPr>
          <w:rStyle w:val="default"/>
          <w:rFonts w:cs="FrankRuehl" w:hint="cs"/>
          <w:rtl/>
        </w:rPr>
      </w:pPr>
      <w:r>
        <w:rPr>
          <w:rStyle w:val="default"/>
          <w:rFonts w:cs="FrankRuehl" w:hint="cs"/>
          <w:rtl/>
        </w:rPr>
        <w:tab/>
        <w:t xml:space="preserve">"בית משפט לעניינים מקומיים" </w:t>
      </w:r>
      <w:r>
        <w:rPr>
          <w:rStyle w:val="default"/>
          <w:rFonts w:cs="FrankRuehl"/>
          <w:rtl/>
        </w:rPr>
        <w:t>–</w:t>
      </w:r>
      <w:r>
        <w:rPr>
          <w:rStyle w:val="default"/>
          <w:rFonts w:cs="FrankRuehl" w:hint="cs"/>
          <w:rtl/>
        </w:rPr>
        <w:t xml:space="preserve"> בית משפט לעניינים מקומיים שהוקם לפי סעיף 2(ב) לצו בדבר ניהול מועצות מקומיות (יהודה והשומרון) (מס' 892), התשמ"א-1981, וסעיף 125 לתקנון.</w:t>
      </w:r>
    </w:p>
    <w:p w:rsidR="00221EF4" w:rsidRDefault="00221EF4">
      <w:pPr>
        <w:pStyle w:val="P00"/>
        <w:spacing w:before="72"/>
        <w:ind w:left="0" w:right="1134"/>
        <w:rPr>
          <w:rStyle w:val="default"/>
          <w:rFonts w:cs="FrankRuehl" w:hint="cs"/>
          <w:rtl/>
        </w:rPr>
      </w:pPr>
      <w:r>
        <w:rPr>
          <w:rStyle w:val="default"/>
          <w:rFonts w:cs="FrankRuehl" w:hint="cs"/>
          <w:rtl/>
        </w:rPr>
        <w:tab/>
        <w:t xml:space="preserve">"התקנון" </w:t>
      </w:r>
      <w:r>
        <w:rPr>
          <w:rStyle w:val="default"/>
          <w:rFonts w:cs="FrankRuehl"/>
          <w:rtl/>
        </w:rPr>
        <w:t>–</w:t>
      </w:r>
      <w:r>
        <w:rPr>
          <w:rStyle w:val="default"/>
          <w:rFonts w:cs="FrankRuehl" w:hint="cs"/>
          <w:rtl/>
        </w:rPr>
        <w:t xml:space="preserve"> תקנון המועצות המקומיות (יהודה והשומרון), התשמ"א-1981.</w:t>
      </w:r>
    </w:p>
    <w:p w:rsidR="00221EF4" w:rsidRDefault="00221EF4">
      <w:pPr>
        <w:pStyle w:val="P00"/>
        <w:spacing w:before="72"/>
        <w:ind w:left="0" w:right="1134"/>
        <w:rPr>
          <w:rStyle w:val="default"/>
          <w:rFonts w:cs="FrankRuehl" w:hint="cs"/>
          <w:rtl/>
        </w:rPr>
      </w:pPr>
      <w:r>
        <w:rPr>
          <w:rStyle w:val="default"/>
          <w:rFonts w:cs="FrankRuehl" w:hint="cs"/>
          <w:rtl/>
        </w:rPr>
        <w:tab/>
        <w:t xml:space="preserve">"חוק הנוער" </w:t>
      </w:r>
      <w:r>
        <w:rPr>
          <w:rStyle w:val="default"/>
          <w:rFonts w:cs="FrankRuehl"/>
          <w:rtl/>
        </w:rPr>
        <w:t>–</w:t>
      </w:r>
      <w:r>
        <w:rPr>
          <w:rStyle w:val="default"/>
          <w:rFonts w:cs="FrankRuehl" w:hint="cs"/>
          <w:rtl/>
        </w:rPr>
        <w:t xml:space="preserve"> חוק הנוער (טיפול והשגחה), התש"ך-1960, כפי תוקפו בישראל, מעת לעת.</w:t>
      </w:r>
    </w:p>
    <w:p w:rsidR="00221EF4" w:rsidRDefault="00221EF4">
      <w:pPr>
        <w:pStyle w:val="P00"/>
        <w:spacing w:before="72"/>
        <w:ind w:left="0" w:right="1134"/>
        <w:rPr>
          <w:rStyle w:val="default"/>
          <w:rFonts w:cs="FrankRuehl" w:hint="cs"/>
          <w:rtl/>
        </w:rPr>
      </w:pPr>
      <w:r>
        <w:rPr>
          <w:rStyle w:val="default"/>
          <w:rFonts w:cs="FrankRuehl" w:hint="cs"/>
          <w:rtl/>
        </w:rPr>
        <w:tab/>
        <w:t xml:space="preserve">"חוקר ילדים" </w:t>
      </w:r>
      <w:r>
        <w:rPr>
          <w:rStyle w:val="default"/>
          <w:rFonts w:cs="FrankRuehl"/>
          <w:rtl/>
        </w:rPr>
        <w:t>–</w:t>
      </w:r>
      <w:r>
        <w:rPr>
          <w:rStyle w:val="default"/>
          <w:rFonts w:cs="FrankRuehl" w:hint="cs"/>
          <w:rtl/>
        </w:rPr>
        <w:t xml:space="preserve"> כמשמעותו בחוק לתיקון דיני הראיות (הגנת ילדים), התשט"ו-1955, כפי תוקפו בישראל.</w:t>
      </w:r>
    </w:p>
    <w:p w:rsidR="00221EF4" w:rsidRDefault="00221EF4">
      <w:pPr>
        <w:pStyle w:val="P00"/>
        <w:spacing w:before="72"/>
        <w:ind w:left="0" w:right="1134"/>
        <w:rPr>
          <w:rStyle w:val="default"/>
          <w:rFonts w:cs="FrankRuehl" w:hint="cs"/>
          <w:rtl/>
        </w:rPr>
      </w:pPr>
      <w:r>
        <w:rPr>
          <w:rStyle w:val="default"/>
          <w:rFonts w:cs="FrankRuehl" w:hint="cs"/>
          <w:rtl/>
        </w:rPr>
        <w:tab/>
        <w:t xml:space="preserve">"ישראלי" </w:t>
      </w:r>
      <w:r>
        <w:rPr>
          <w:rStyle w:val="default"/>
          <w:rFonts w:cs="FrankRuehl"/>
          <w:rtl/>
        </w:rPr>
        <w:t>–</w:t>
      </w:r>
      <w:r>
        <w:rPr>
          <w:rStyle w:val="default"/>
          <w:rFonts w:cs="FrankRuehl" w:hint="cs"/>
          <w:rtl/>
        </w:rPr>
        <w:t xml:space="preserve"> כל אחד מאלה:</w:t>
      </w:r>
    </w:p>
    <w:p w:rsidR="00221EF4" w:rsidRDefault="00221EF4">
      <w:pPr>
        <w:pStyle w:val="P00"/>
        <w:spacing w:before="72"/>
        <w:ind w:left="567" w:right="1134"/>
        <w:rPr>
          <w:rStyle w:val="default"/>
          <w:rFonts w:cs="FrankRuehl" w:hint="cs"/>
          <w:rtl/>
        </w:rPr>
      </w:pPr>
      <w:r>
        <w:rPr>
          <w:rStyle w:val="default"/>
          <w:rFonts w:cs="FrankRuehl" w:hint="cs"/>
          <w:rtl/>
        </w:rPr>
        <w:t>(1)</w:t>
      </w:r>
      <w:r>
        <w:rPr>
          <w:rStyle w:val="default"/>
          <w:rFonts w:cs="FrankRuehl" w:hint="cs"/>
          <w:rtl/>
        </w:rPr>
        <w:tab/>
        <w:t>אדם הרשום המרשם האוכלוסין בישראל לפי חוק מרשם האוכלוסין, התשכ"ה-1965, כפי תוקפו בישראל;</w:t>
      </w:r>
    </w:p>
    <w:p w:rsidR="00221EF4" w:rsidRDefault="00221EF4">
      <w:pPr>
        <w:pStyle w:val="P00"/>
        <w:spacing w:before="72"/>
        <w:ind w:left="567" w:right="1134"/>
        <w:rPr>
          <w:rStyle w:val="default"/>
          <w:rFonts w:cs="FrankRuehl" w:hint="cs"/>
          <w:rtl/>
        </w:rPr>
      </w:pPr>
      <w:r>
        <w:rPr>
          <w:rStyle w:val="default"/>
          <w:rFonts w:cs="FrankRuehl" w:hint="cs"/>
          <w:rtl/>
        </w:rPr>
        <w:t>(2)</w:t>
      </w:r>
      <w:r>
        <w:rPr>
          <w:rStyle w:val="default"/>
          <w:rFonts w:cs="FrankRuehl" w:hint="cs"/>
          <w:rtl/>
        </w:rPr>
        <w:tab/>
        <w:t>אדם שמקום מגוריו באזור והוא אזרח ישראלי או שהוא זכאי לעלות לישראל לפי חוק השבות, התש"י-1950, כפי תוקפו בישראל;</w:t>
      </w:r>
    </w:p>
    <w:p w:rsidR="00221EF4" w:rsidRDefault="00221EF4">
      <w:pPr>
        <w:pStyle w:val="P00"/>
        <w:spacing w:before="72"/>
        <w:ind w:left="0" w:right="1134"/>
        <w:rPr>
          <w:rStyle w:val="default"/>
          <w:rFonts w:cs="FrankRuehl" w:hint="cs"/>
          <w:rtl/>
        </w:rPr>
      </w:pPr>
      <w:r>
        <w:rPr>
          <w:rStyle w:val="default"/>
          <w:rFonts w:cs="FrankRuehl" w:hint="cs"/>
          <w:rtl/>
        </w:rPr>
        <w:tab/>
        <w:t xml:space="preserve">"פקיד הסעד" </w:t>
      </w:r>
      <w:r>
        <w:rPr>
          <w:rStyle w:val="default"/>
          <w:rFonts w:cs="FrankRuehl"/>
          <w:rtl/>
        </w:rPr>
        <w:t>–</w:t>
      </w:r>
      <w:r>
        <w:rPr>
          <w:rStyle w:val="default"/>
          <w:rFonts w:cs="FrankRuehl" w:hint="cs"/>
          <w:rtl/>
        </w:rPr>
        <w:t xml:space="preserve"> כהגדרתו בחוק הנוער.</w:t>
      </w:r>
    </w:p>
    <w:p w:rsidR="00221EF4" w:rsidRDefault="00221EF4">
      <w:pPr>
        <w:pStyle w:val="P00"/>
        <w:spacing w:before="72"/>
        <w:ind w:left="0" w:right="1134"/>
        <w:rPr>
          <w:rStyle w:val="default"/>
          <w:rFonts w:cs="FrankRuehl" w:hint="cs"/>
          <w:rtl/>
        </w:rPr>
      </w:pPr>
      <w:r>
        <w:rPr>
          <w:rStyle w:val="default"/>
          <w:rFonts w:cs="FrankRuehl" w:hint="cs"/>
          <w:rtl/>
        </w:rPr>
        <w:tab/>
        <w:t xml:space="preserve">"פקיד סעד ראשי" </w:t>
      </w:r>
      <w:r>
        <w:rPr>
          <w:rStyle w:val="default"/>
          <w:rFonts w:cs="FrankRuehl"/>
          <w:rtl/>
        </w:rPr>
        <w:t>–</w:t>
      </w:r>
      <w:r>
        <w:rPr>
          <w:rStyle w:val="default"/>
          <w:rFonts w:cs="FrankRuehl" w:hint="cs"/>
          <w:rtl/>
        </w:rPr>
        <w:t xml:space="preserve"> פקיד סעד, שמונה כפקיד סעד ראשי, לפי סעיף 30 לחוק הנוער.</w:t>
      </w:r>
    </w:p>
    <w:p w:rsidR="00221EF4" w:rsidRDefault="00221EF4">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12.55pt;z-index:251655168" o:allowincell="f" filled="f" stroked="f" strokecolor="lime" strokeweight=".25pt">
            <v:textbox style="mso-next-textbox:#_x0000_s1214" inset="0,0,0,0">
              <w:txbxContent>
                <w:p w:rsidR="00221EF4" w:rsidRDefault="00221EF4">
                  <w:pPr>
                    <w:pStyle w:val="a7"/>
                    <w:rPr>
                      <w:rFonts w:hint="cs"/>
                      <w:noProof/>
                      <w:rtl/>
                    </w:rPr>
                  </w:pPr>
                  <w:r>
                    <w:rPr>
                      <w:rFonts w:hint="cs"/>
                      <w:rtl/>
                    </w:rPr>
                    <w:t>הסמכת פקידי סעד</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בנוסף לאמור בכל דין ותחיקת בטחון, יהיו מוסמכים פקידי סעד, פקידי סעד ראשיים, וחוקרי ילדים לפעול לפי חוק הנוער וכל תחיקת משנה אשר הוצאה בישראל מכוחו, כפי תקפם מעת לעת, בשינויים המפורטים בסעיף 3(ב) לנספח מס' 1 לתקנון, ביחס לכל ישראלי המצוי בתחומי האיזור.</w:t>
      </w:r>
    </w:p>
    <w:p w:rsidR="00221EF4" w:rsidRDefault="00221EF4">
      <w:pPr>
        <w:pStyle w:val="P00"/>
        <w:spacing w:before="72"/>
        <w:ind w:left="0" w:right="1134"/>
        <w:rPr>
          <w:rStyle w:val="default"/>
          <w:rFonts w:cs="FrankRuehl" w:hint="cs"/>
          <w:rtl/>
        </w:rPr>
      </w:pPr>
      <w:bookmarkStart w:id="2" w:name="Seif3"/>
      <w:bookmarkEnd w:id="2"/>
      <w:r>
        <w:rPr>
          <w:rFonts w:cs="Miriam"/>
          <w:lang w:val="he-IL"/>
        </w:rPr>
        <w:pict>
          <v:rect id="_x0000_s1239" style="position:absolute;left:0;text-align:left;margin-left:464.35pt;margin-top:7.1pt;width:75.05pt;height:18.1pt;z-index:251656192" o:allowincell="f" filled="f" stroked="f" strokecolor="lime" strokeweight=".25pt">
            <v:textbox style="mso-next-textbox:#_x0000_s1239" inset="0,0,0,0">
              <w:txbxContent>
                <w:p w:rsidR="00221EF4" w:rsidRDefault="00221EF4">
                  <w:pPr>
                    <w:spacing w:line="160" w:lineRule="exact"/>
                    <w:rPr>
                      <w:rFonts w:cs="Miriam" w:hint="cs"/>
                      <w:noProof/>
                      <w:sz w:val="18"/>
                      <w:szCs w:val="18"/>
                      <w:rtl/>
                    </w:rPr>
                  </w:pPr>
                  <w:r>
                    <w:rPr>
                      <w:rFonts w:cs="Miriam" w:hint="cs"/>
                      <w:sz w:val="18"/>
                      <w:szCs w:val="18"/>
                      <w:rtl/>
                    </w:rPr>
                    <w:t>הסמכת בית המשפט לעניינים מקומיים</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בנוסף לקבוע בכל דין ותחיקת הביטחון, מוסמך בית המשפט לעניינים מקומיים של ערכאה ראשונה, בשבתו כבית משפט לנוער, לדון בעניינו של כל ישראלי המצוי בתחומי האזור, לפי חוק הנוער וכל תחיקת משנה אשר הוצאה בישראל מכוחו, כפי תקפם מעת לעת, בשינויים המפורטים בסעיף 3(ב) לנספח מס' 1 לתקנון.</w:t>
      </w:r>
    </w:p>
    <w:p w:rsidR="00221EF4" w:rsidRDefault="00221EF4">
      <w:pPr>
        <w:pStyle w:val="P00"/>
        <w:spacing w:before="72"/>
        <w:ind w:left="0" w:right="1134"/>
        <w:rPr>
          <w:rStyle w:val="default"/>
          <w:rFonts w:cs="FrankRuehl" w:hint="cs"/>
          <w:rtl/>
        </w:rPr>
      </w:pPr>
      <w:bookmarkStart w:id="3" w:name="Seif4"/>
      <w:bookmarkEnd w:id="3"/>
      <w:r>
        <w:rPr>
          <w:rFonts w:cs="Miriam"/>
          <w:lang w:val="he-IL"/>
        </w:rPr>
        <w:pict>
          <v:rect id="_x0000_s1253" style="position:absolute;left:0;text-align:left;margin-left:464.35pt;margin-top:7.1pt;width:75.05pt;height:16.8pt;z-index:251657216" o:allowincell="f" filled="f" stroked="f" strokecolor="lime" strokeweight=".25pt">
            <v:textbox style="mso-next-textbox:#_x0000_s1253" inset="0,0,0,0">
              <w:txbxContent>
                <w:p w:rsidR="00221EF4" w:rsidRDefault="00221EF4">
                  <w:pPr>
                    <w:spacing w:line="160" w:lineRule="exact"/>
                    <w:rPr>
                      <w:rFonts w:cs="Miriam" w:hint="cs"/>
                      <w:noProof/>
                      <w:sz w:val="18"/>
                      <w:szCs w:val="18"/>
                      <w:rtl/>
                    </w:rPr>
                  </w:pPr>
                  <w:r>
                    <w:rPr>
                      <w:rFonts w:cs="Miriam" w:hint="cs"/>
                      <w:sz w:val="18"/>
                      <w:szCs w:val="18"/>
                      <w:rtl/>
                    </w:rPr>
                    <w:t>הסמכת ערכאת ערעור</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בנוסף לקבוע בכל דין ותחיקת הביטחון, מוסמך בית המשפט לעניינים מקומיים של ערכאת ערעור, לדון בערעור על החלטת בית המשפט לעניינים מקומיים של ערכאה ראשונה, לפי צו זה.</w:t>
      </w:r>
    </w:p>
    <w:p w:rsidR="00221EF4" w:rsidRDefault="00221EF4">
      <w:pPr>
        <w:pStyle w:val="P00"/>
        <w:spacing w:before="72"/>
        <w:ind w:left="0" w:right="1134"/>
        <w:rPr>
          <w:rStyle w:val="default"/>
          <w:rFonts w:cs="FrankRuehl" w:hint="cs"/>
          <w:rtl/>
        </w:rPr>
      </w:pPr>
      <w:bookmarkStart w:id="4" w:name="Seif5"/>
      <w:bookmarkEnd w:id="4"/>
      <w:r>
        <w:rPr>
          <w:rFonts w:cs="Miriam"/>
          <w:lang w:val="he-IL"/>
        </w:rPr>
        <w:pict>
          <v:rect id="_x0000_s1294" style="position:absolute;left:0;text-align:left;margin-left:464.35pt;margin-top:7.1pt;width:75.05pt;height:10.15pt;z-index:251658240" o:allowincell="f" filled="f" stroked="f" strokecolor="lime" strokeweight=".25pt">
            <v:textbox style="mso-next-textbox:#_x0000_s1294" inset="0,0,0,0">
              <w:txbxContent>
                <w:p w:rsidR="00221EF4" w:rsidRDefault="00221EF4">
                  <w:pPr>
                    <w:spacing w:line="160" w:lineRule="exact"/>
                    <w:rPr>
                      <w:rFonts w:cs="Miriam" w:hint="cs"/>
                      <w:noProof/>
                      <w:sz w:val="18"/>
                      <w:szCs w:val="18"/>
                      <w:rtl/>
                    </w:rPr>
                  </w:pPr>
                  <w:r>
                    <w:rPr>
                      <w:rFonts w:cs="Miriam" w:hint="cs"/>
                      <w:sz w:val="18"/>
                      <w:szCs w:val="18"/>
                      <w:rtl/>
                    </w:rPr>
                    <w:t>סמכות מקומית</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דיון בעניינו של אדם לפי צו זה, ייעשה בבית המשפט לעניינים מקומיים, הסמוך למקום מגוריו.</w:t>
      </w:r>
    </w:p>
    <w:p w:rsidR="00221EF4" w:rsidRDefault="00221EF4">
      <w:pPr>
        <w:pStyle w:val="P00"/>
        <w:spacing w:before="72"/>
        <w:ind w:left="0" w:right="1134"/>
        <w:rPr>
          <w:rStyle w:val="default"/>
          <w:rFonts w:cs="FrankRuehl" w:hint="cs"/>
          <w:rtl/>
        </w:rPr>
      </w:pPr>
      <w:bookmarkStart w:id="5" w:name="Seif6"/>
      <w:bookmarkEnd w:id="5"/>
      <w:r>
        <w:rPr>
          <w:rFonts w:cs="Miriam"/>
          <w:lang w:val="he-IL"/>
        </w:rPr>
        <w:pict>
          <v:rect id="_x0000_s1295" style="position:absolute;left:0;text-align:left;margin-left:464.35pt;margin-top:7.1pt;width:75.05pt;height:10.15pt;z-index:251659264" o:allowincell="f" filled="f" stroked="f" strokecolor="lime" strokeweight=".25pt">
            <v:textbox style="mso-next-textbox:#_x0000_s1295" inset="0,0,0,0">
              <w:txbxContent>
                <w:p w:rsidR="00221EF4" w:rsidRDefault="00221EF4">
                  <w:pPr>
                    <w:spacing w:line="160" w:lineRule="exact"/>
                    <w:rPr>
                      <w:rFonts w:cs="Miriam" w:hint="cs"/>
                      <w:noProof/>
                      <w:sz w:val="18"/>
                      <w:szCs w:val="18"/>
                      <w:rtl/>
                    </w:rPr>
                  </w:pPr>
                  <w:r>
                    <w:rPr>
                      <w:rFonts w:cs="Miriam" w:hint="cs"/>
                      <w:sz w:val="18"/>
                      <w:szCs w:val="18"/>
                      <w:rtl/>
                    </w:rPr>
                    <w:t>הוראות שונות</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הוראות סעיפים 129, 130, 131, 132(ג), 134, 137, 138, 139, 140 ו-140א לתקנון יחולו על דיוני בית המשפט לעניינים מקומיים, לפי צו זה.</w:t>
      </w:r>
    </w:p>
    <w:p w:rsidR="00221EF4" w:rsidRDefault="00221E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ייוצג בהליך לפי צו זה על ידי מי שנתמנה על ידי מי שמכהן בישראל כיועץ המשפטי לממשלה.</w:t>
      </w:r>
    </w:p>
    <w:p w:rsidR="00221EF4" w:rsidRDefault="00221E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מינוי נשיא, ממלא מקום נשיא, שופט או רשם שבוצע או שיבוצע לפי סעיף 127 לתקנון יראוהו במינוי גם לעניין צו זה.</w:t>
      </w:r>
    </w:p>
    <w:p w:rsidR="00221EF4" w:rsidRDefault="00221EF4">
      <w:pPr>
        <w:pStyle w:val="P00"/>
        <w:spacing w:before="72"/>
        <w:ind w:left="0" w:right="1134"/>
        <w:rPr>
          <w:rStyle w:val="default"/>
          <w:rFonts w:cs="FrankRuehl" w:hint="cs"/>
          <w:rtl/>
        </w:rPr>
      </w:pPr>
      <w:r>
        <w:rPr>
          <w:rStyle w:val="default"/>
          <w:rFonts w:cs="FrankRuehl" w:hint="cs"/>
          <w:rtl/>
        </w:rPr>
        <w:lastRenderedPageBreak/>
        <w:tab/>
        <w:t>ד.</w:t>
      </w:r>
      <w:r>
        <w:rPr>
          <w:rStyle w:val="default"/>
          <w:rFonts w:cs="FrankRuehl" w:hint="cs"/>
          <w:rtl/>
        </w:rPr>
        <w:tab/>
        <w:t>מקום מושב שנקבע או שייקבע לכל בית משפט לעניינים מקומיים לפי סעיף 128(א) ו-(ב) לתקנון יהיה מקום מושבו גם לעניין צו זה.</w:t>
      </w:r>
    </w:p>
    <w:p w:rsidR="00221EF4" w:rsidRDefault="00221EF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צו זה אינו בא לגרוע מסמכויותיהם של בתי משפט לעניינים מקומיים לדון בעניינים המפורטים בסעיף 126 לתקנון.</w:t>
      </w:r>
    </w:p>
    <w:p w:rsidR="00221EF4" w:rsidRDefault="00221EF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צו זה אינו בא לגרוע מסמכות הנתונה לכל בית משפט או בית דין אחר בישראל או באזור.</w:t>
      </w:r>
    </w:p>
    <w:p w:rsidR="00221EF4" w:rsidRDefault="00221EF4">
      <w:pPr>
        <w:pStyle w:val="P00"/>
        <w:spacing w:before="72"/>
        <w:ind w:left="0" w:right="1134"/>
        <w:rPr>
          <w:rStyle w:val="default"/>
          <w:rFonts w:cs="FrankRuehl" w:hint="cs"/>
          <w:rtl/>
        </w:rPr>
      </w:pPr>
      <w:bookmarkStart w:id="6" w:name="Seif7"/>
      <w:bookmarkEnd w:id="6"/>
      <w:r>
        <w:rPr>
          <w:rFonts w:cs="Miriam"/>
          <w:lang w:val="he-IL"/>
        </w:rPr>
        <w:pict>
          <v:rect id="_x0000_s1296" style="position:absolute;left:0;text-align:left;margin-left:464.35pt;margin-top:7.1pt;width:75.05pt;height:10.15pt;z-index:251660288" o:allowincell="f" filled="f" stroked="f" strokecolor="lime" strokeweight=".25pt">
            <v:textbox style="mso-next-textbox:#_x0000_s1296" inset="0,0,0,0">
              <w:txbxContent>
                <w:p w:rsidR="00221EF4" w:rsidRDefault="00221EF4">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4</w:t>
      </w:r>
      <w:r>
        <w:rPr>
          <w:rStyle w:val="default"/>
          <w:rFonts w:cs="FrankRuehl"/>
          <w:rtl/>
        </w:rPr>
        <w:t>.</w:t>
      </w:r>
      <w:r>
        <w:rPr>
          <w:rStyle w:val="a6"/>
          <w:rFonts w:cs="FrankRuehl"/>
          <w:sz w:val="26"/>
        </w:rPr>
        <w:footnoteReference w:id="2"/>
      </w:r>
      <w:r>
        <w:rPr>
          <w:rStyle w:val="default"/>
          <w:rFonts w:cs="FrankRuehl"/>
          <w:rtl/>
        </w:rPr>
        <w:tab/>
      </w:r>
      <w:r>
        <w:rPr>
          <w:rStyle w:val="default"/>
          <w:rFonts w:cs="FrankRuehl" w:hint="cs"/>
          <w:rtl/>
        </w:rPr>
        <w:t>תחילת תוקפו של צו זה ביום חתימתו.</w:t>
      </w:r>
    </w:p>
    <w:p w:rsidR="00221EF4" w:rsidRDefault="00221EF4">
      <w:pPr>
        <w:pStyle w:val="P00"/>
        <w:spacing w:before="72"/>
        <w:ind w:left="0" w:right="1134"/>
        <w:rPr>
          <w:rStyle w:val="default"/>
          <w:rFonts w:cs="FrankRuehl" w:hint="cs"/>
          <w:rtl/>
        </w:rPr>
      </w:pPr>
      <w:bookmarkStart w:id="7" w:name="Seif8"/>
      <w:bookmarkEnd w:id="7"/>
      <w:r>
        <w:rPr>
          <w:rFonts w:cs="Miriam"/>
          <w:lang w:val="he-IL"/>
        </w:rPr>
        <w:pict>
          <v:rect id="_x0000_s1297" style="position:absolute;left:0;text-align:left;margin-left:464.35pt;margin-top:7.1pt;width:75.05pt;height:10.15pt;z-index:251661312" o:allowincell="f" filled="f" stroked="f" strokecolor="lime" strokeweight=".25pt">
            <v:textbox style="mso-next-textbox:#_x0000_s1297" inset="0,0,0,0">
              <w:txbxContent>
                <w:p w:rsidR="00221EF4" w:rsidRDefault="00221EF4">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צו זה ייקרא: "צו בדבר חוק הנוער (יהודה והשומרון) (מס' 1559), התשס"ה-2005.</w:t>
      </w:r>
    </w:p>
    <w:p w:rsidR="00221EF4" w:rsidRDefault="00221EF4">
      <w:pPr>
        <w:pStyle w:val="P00"/>
        <w:spacing w:before="72"/>
        <w:ind w:left="0" w:right="1134"/>
        <w:rPr>
          <w:rStyle w:val="default"/>
          <w:rFonts w:cs="FrankRuehl" w:hint="cs"/>
          <w:rtl/>
        </w:rPr>
      </w:pPr>
    </w:p>
    <w:p w:rsidR="00221EF4" w:rsidRDefault="00221EF4">
      <w:pPr>
        <w:pStyle w:val="P00"/>
        <w:spacing w:before="72"/>
        <w:ind w:left="0" w:right="1134"/>
        <w:rPr>
          <w:rStyle w:val="default"/>
          <w:rFonts w:cs="FrankRuehl" w:hint="cs"/>
          <w:rtl/>
        </w:rPr>
      </w:pPr>
    </w:p>
    <w:p w:rsidR="00221EF4" w:rsidRDefault="00221EF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ט"ז בסיוון התשס"ה (23 ביוני 2005)</w:t>
      </w:r>
      <w:r>
        <w:rPr>
          <w:rStyle w:val="default"/>
          <w:rFonts w:cs="FrankRuehl" w:hint="cs"/>
          <w:rtl/>
        </w:rPr>
        <w:tab/>
      </w:r>
      <w:r>
        <w:rPr>
          <w:rFonts w:cs="FrankRuehl" w:hint="cs"/>
          <w:rtl/>
        </w:rPr>
        <w:t>יאיר נוה, אלוף</w:t>
      </w:r>
    </w:p>
    <w:p w:rsidR="00221EF4" w:rsidRDefault="00221EF4">
      <w:pPr>
        <w:pStyle w:val="sig-0"/>
        <w:tabs>
          <w:tab w:val="clear" w:pos="4820"/>
          <w:tab w:val="center" w:pos="5103"/>
        </w:tabs>
        <w:ind w:left="0" w:right="1134"/>
        <w:rPr>
          <w:rFonts w:cs="FrankRuehl" w:hint="cs"/>
          <w:sz w:val="22"/>
          <w:szCs w:val="22"/>
          <w:rtl/>
        </w:rPr>
      </w:pPr>
      <w:r>
        <w:rPr>
          <w:rFonts w:cs="FrankRuehl" w:hint="cs"/>
          <w:sz w:val="22"/>
          <w:szCs w:val="22"/>
          <w:rtl/>
        </w:rPr>
        <w:tab/>
        <w:t>מפקד כוחות צה"ל</w:t>
      </w:r>
    </w:p>
    <w:p w:rsidR="00221EF4" w:rsidRDefault="00221EF4">
      <w:pPr>
        <w:pStyle w:val="sig-0"/>
        <w:tabs>
          <w:tab w:val="clear" w:pos="4820"/>
          <w:tab w:val="center" w:pos="5103"/>
        </w:tabs>
        <w:ind w:left="0" w:right="1134"/>
        <w:rPr>
          <w:rFonts w:cs="FrankRuehl" w:hint="cs"/>
          <w:sz w:val="22"/>
          <w:szCs w:val="22"/>
          <w:rtl/>
        </w:rPr>
      </w:pPr>
      <w:r>
        <w:rPr>
          <w:rFonts w:cs="FrankRuehl" w:hint="cs"/>
          <w:sz w:val="22"/>
          <w:szCs w:val="22"/>
          <w:rtl/>
        </w:rPr>
        <w:tab/>
        <w:t>באזור יהודה והשומרון</w:t>
      </w:r>
    </w:p>
    <w:p w:rsidR="00221EF4" w:rsidRDefault="00221EF4">
      <w:pPr>
        <w:pStyle w:val="sig-0"/>
        <w:tabs>
          <w:tab w:val="clear" w:pos="4820"/>
          <w:tab w:val="center" w:pos="5670"/>
        </w:tabs>
        <w:ind w:left="0" w:right="1134"/>
        <w:rPr>
          <w:rFonts w:cs="FrankRuehl" w:hint="cs"/>
          <w:sz w:val="26"/>
          <w:rtl/>
        </w:rPr>
      </w:pPr>
    </w:p>
    <w:p w:rsidR="00221EF4" w:rsidRDefault="00221EF4">
      <w:pPr>
        <w:pStyle w:val="sig-0"/>
        <w:tabs>
          <w:tab w:val="clear" w:pos="4820"/>
          <w:tab w:val="center" w:pos="5670"/>
        </w:tabs>
        <w:ind w:left="0" w:right="1134"/>
        <w:rPr>
          <w:rFonts w:cs="FrankRuehl" w:hint="cs"/>
          <w:sz w:val="26"/>
          <w:rtl/>
        </w:rPr>
      </w:pPr>
    </w:p>
    <w:p w:rsidR="003A59A3" w:rsidRDefault="003A59A3">
      <w:pPr>
        <w:pStyle w:val="sig-0"/>
        <w:ind w:left="0" w:right="1134"/>
        <w:rPr>
          <w:rFonts w:cs="FrankRuehl"/>
          <w:sz w:val="26"/>
          <w:rtl/>
        </w:rPr>
      </w:pPr>
    </w:p>
    <w:p w:rsidR="003A59A3" w:rsidRDefault="003A59A3">
      <w:pPr>
        <w:pStyle w:val="sig-0"/>
        <w:ind w:left="0" w:right="1134"/>
        <w:rPr>
          <w:rFonts w:cs="FrankRuehl"/>
          <w:sz w:val="26"/>
          <w:rtl/>
        </w:rPr>
      </w:pPr>
    </w:p>
    <w:p w:rsidR="003A59A3" w:rsidRDefault="003A59A3" w:rsidP="003A59A3">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221EF4" w:rsidRPr="003A59A3" w:rsidRDefault="00221EF4" w:rsidP="003A59A3">
      <w:pPr>
        <w:pStyle w:val="sig-0"/>
        <w:ind w:left="0" w:right="1134"/>
        <w:jc w:val="center"/>
        <w:rPr>
          <w:rFonts w:cs="David"/>
          <w:color w:val="0000FF"/>
          <w:sz w:val="26"/>
          <w:szCs w:val="24"/>
          <w:u w:val="single"/>
          <w:rtl/>
        </w:rPr>
      </w:pPr>
    </w:p>
    <w:sectPr w:rsidR="00221EF4" w:rsidRPr="003A59A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7CB7" w:rsidRDefault="004C7CB7">
      <w:r>
        <w:separator/>
      </w:r>
    </w:p>
  </w:endnote>
  <w:endnote w:type="continuationSeparator" w:id="0">
    <w:p w:rsidR="004C7CB7" w:rsidRDefault="004C7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EF4" w:rsidRDefault="00221E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21EF4" w:rsidRDefault="00221E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1EF4" w:rsidRDefault="00221E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9A3">
      <w:rPr>
        <w:rFonts w:cs="TopType Jerushalmi"/>
        <w:noProof/>
        <w:color w:val="000000"/>
        <w:sz w:val="14"/>
        <w:szCs w:val="14"/>
      </w:rPr>
      <w:t>Y:\000000000000-law\yael\10-03-16\666_007.doc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EF4" w:rsidRDefault="00221E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59A3">
      <w:rPr>
        <w:rFonts w:hAnsi="FrankRuehl" w:cs="FrankRuehl"/>
        <w:noProof/>
        <w:sz w:val="24"/>
        <w:szCs w:val="24"/>
        <w:rtl/>
      </w:rPr>
      <w:t>3</w:t>
    </w:r>
    <w:r>
      <w:rPr>
        <w:rFonts w:hAnsi="FrankRuehl" w:cs="FrankRuehl"/>
        <w:sz w:val="24"/>
        <w:szCs w:val="24"/>
        <w:rtl/>
      </w:rPr>
      <w:fldChar w:fldCharType="end"/>
    </w:r>
  </w:p>
  <w:p w:rsidR="00221EF4" w:rsidRDefault="00221E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1EF4" w:rsidRDefault="00221E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9A3">
      <w:rPr>
        <w:rFonts w:cs="TopType Jerushalmi"/>
        <w:noProof/>
        <w:color w:val="000000"/>
        <w:sz w:val="14"/>
        <w:szCs w:val="14"/>
      </w:rPr>
      <w:t>Y:\000000000000-law\yael\10-03-16\666_007.doc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7CB7" w:rsidRDefault="004C7CB7">
      <w:pPr>
        <w:pStyle w:val="a5"/>
        <w:rPr>
          <w:rFonts w:cs="David"/>
          <w:sz w:val="24"/>
          <w:szCs w:val="24"/>
        </w:rPr>
      </w:pPr>
      <w:r>
        <w:separator/>
      </w:r>
    </w:p>
  </w:footnote>
  <w:footnote w:type="continuationSeparator" w:id="0">
    <w:p w:rsidR="004C7CB7" w:rsidRDefault="004C7CB7">
      <w:r>
        <w:continuationSeparator/>
      </w:r>
    </w:p>
  </w:footnote>
  <w:footnote w:id="1">
    <w:p w:rsidR="00221EF4" w:rsidRDefault="00221E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rtl/>
          </w:rPr>
          <w:t>קובץ המנשרים מס' 209</w:t>
        </w:r>
      </w:hyperlink>
      <w:r>
        <w:rPr>
          <w:rFonts w:cs="FrankRuehl" w:hint="cs"/>
          <w:rtl/>
        </w:rPr>
        <w:t xml:space="preserve"> מחודש ינואר 2006 עמ' 3858.</w:t>
      </w:r>
    </w:p>
  </w:footnote>
  <w:footnote w:id="2">
    <w:p w:rsidR="00221EF4" w:rsidRDefault="00221EF4">
      <w:pPr>
        <w:pStyle w:val="a5"/>
        <w:spacing w:before="72"/>
        <w:ind w:right="1134"/>
        <w:jc w:val="both"/>
        <w:rPr>
          <w:rFonts w:hint="cs"/>
          <w:rtl/>
        </w:rPr>
      </w:pPr>
      <w:r>
        <w:rPr>
          <w:rStyle w:val="a6"/>
        </w:rPr>
        <w:footnoteRef/>
      </w:r>
      <w:r>
        <w:rPr>
          <w:rFonts w:hint="cs"/>
          <w:rtl/>
        </w:rPr>
        <w:t xml:space="preserve"> </w:t>
      </w:r>
      <w:r>
        <w:rPr>
          <w:rFonts w:cs="FrankRuehl" w:hint="cs"/>
          <w:sz w:val="22"/>
          <w:szCs w:val="22"/>
          <w:rtl/>
        </w:rPr>
        <w:t>הטעות במספור הסעיפים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EF4" w:rsidRDefault="00221EF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21EF4" w:rsidRDefault="00221E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21EF4" w:rsidRDefault="00221EF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EF4" w:rsidRDefault="00221EF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חוק הנוער (יהודה והשומרון) (מס' 1559), תשס"ה-2005</w:t>
    </w:r>
  </w:p>
  <w:p w:rsidR="00221EF4" w:rsidRDefault="00221E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21EF4" w:rsidRDefault="00221EF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1898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1C53"/>
    <w:rsid w:val="00221EF4"/>
    <w:rsid w:val="003A59A3"/>
    <w:rsid w:val="004C7CB7"/>
    <w:rsid w:val="00801C53"/>
    <w:rsid w:val="00CC5786"/>
    <w:rsid w:val="00E122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5B7CC9F-6845-4DA5-8DAF-593587E9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2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3115</Characters>
  <Application>Microsoft Office Word</Application>
  <DocSecurity>4</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יהודה והשומרון</vt:lpstr>
      <vt:lpstr>יהודה והשומרון</vt:lpstr>
    </vt:vector>
  </TitlesOfParts>
  <Company/>
  <LinksUpToDate>false</LinksUpToDate>
  <CharactersWithSpaces>3654</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1441913</vt:i4>
      </vt:variant>
      <vt:variant>
        <vt:i4>0</vt:i4>
      </vt:variant>
      <vt:variant>
        <vt:i4>0</vt:i4>
      </vt:variant>
      <vt:variant>
        <vt:i4>5</vt:i4>
      </vt:variant>
      <vt:variant>
        <vt:lpwstr>http://www.nevo.co.il/Law_word/law70/ZAVA-0209.pdf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חוק הנוער (יהודה והשומרון) (מס' 1559), תשס"ה-2005</vt:lpwstr>
  </property>
  <property fmtid="{D5CDD505-2E9C-101B-9397-08002B2CF9AE}" pid="4" name="LAWNUMBER">
    <vt:lpwstr>0007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