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77BBC" w14:textId="77777777"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יהודה והשומרון</w:t>
      </w:r>
    </w:p>
    <w:p w14:paraId="4E62B12A" w14:textId="77777777" w:rsidR="006F4B89" w:rsidRPr="00B569AC" w:rsidRDefault="00851E27" w:rsidP="00776715">
      <w:pPr>
        <w:pStyle w:val="big-header"/>
        <w:ind w:left="0" w:right="1134"/>
        <w:rPr>
          <w:rFonts w:cs="FrankRuehl" w:hint="cs"/>
          <w:sz w:val="32"/>
          <w:vertAlign w:val="subscript"/>
          <w:rtl/>
        </w:rPr>
      </w:pPr>
      <w:r>
        <w:rPr>
          <w:rFonts w:cs="FrankRuehl" w:hint="cs"/>
          <w:sz w:val="32"/>
          <w:rtl/>
        </w:rPr>
        <w:t xml:space="preserve">צו בדבר </w:t>
      </w:r>
      <w:r w:rsidR="00776715">
        <w:rPr>
          <w:rFonts w:cs="FrankRuehl" w:hint="cs"/>
          <w:sz w:val="32"/>
          <w:rtl/>
        </w:rPr>
        <w:t>חוקי יעור ויערות (יהודה והשומרון) (מס' 306), תשכ"ט-1969</w:t>
      </w:r>
    </w:p>
    <w:p w14:paraId="3B33783E" w14:textId="77777777"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8482F" w:rsidRPr="0068482F" w14:paraId="0A86608E" w14:textId="77777777" w:rsidTr="0068482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98B026" w14:textId="77777777" w:rsidR="0068482F" w:rsidRPr="0068482F" w:rsidRDefault="0068482F" w:rsidP="0068482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CAA828A" w14:textId="77777777" w:rsidR="0068482F" w:rsidRPr="0068482F" w:rsidRDefault="0068482F" w:rsidP="0068482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745EAEB6" w14:textId="77777777" w:rsidR="0068482F" w:rsidRPr="0068482F" w:rsidRDefault="0068482F" w:rsidP="0068482F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6848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61805D" w14:textId="77777777" w:rsidR="0068482F" w:rsidRPr="0068482F" w:rsidRDefault="0068482F" w:rsidP="0068482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8482F" w:rsidRPr="0068482F" w14:paraId="755C6EDE" w14:textId="77777777" w:rsidTr="0068482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32E94C" w14:textId="77777777" w:rsidR="0068482F" w:rsidRPr="0068482F" w:rsidRDefault="0068482F" w:rsidP="0068482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C2CEDEA" w14:textId="77777777" w:rsidR="0068482F" w:rsidRPr="0068482F" w:rsidRDefault="0068482F" w:rsidP="0068482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סמכויות הרשות המוסמכת</w:t>
            </w:r>
          </w:p>
        </w:tc>
        <w:tc>
          <w:tcPr>
            <w:tcW w:w="567" w:type="dxa"/>
          </w:tcPr>
          <w:p w14:paraId="02AFF3AB" w14:textId="77777777" w:rsidR="0068482F" w:rsidRPr="0068482F" w:rsidRDefault="0068482F" w:rsidP="0068482F">
            <w:pPr>
              <w:rPr>
                <w:rStyle w:val="Hyperlink"/>
                <w:rFonts w:hint="cs"/>
                <w:rtl/>
              </w:rPr>
            </w:pPr>
            <w:hyperlink w:anchor="Seif2" w:tooltip="סמכויות הרשות המוסמכת" w:history="1">
              <w:r w:rsidRPr="006848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238970" w14:textId="77777777" w:rsidR="0068482F" w:rsidRPr="0068482F" w:rsidRDefault="0068482F" w:rsidP="0068482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8482F" w:rsidRPr="0068482F" w14:paraId="204B8E58" w14:textId="77777777" w:rsidTr="0068482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616420A" w14:textId="77777777" w:rsidR="0068482F" w:rsidRPr="0068482F" w:rsidRDefault="0068482F" w:rsidP="0068482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EF08287" w14:textId="77777777" w:rsidR="0068482F" w:rsidRPr="0068482F" w:rsidRDefault="0068482F" w:rsidP="0068482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סמכויות פקיד היערות</w:t>
            </w:r>
          </w:p>
        </w:tc>
        <w:tc>
          <w:tcPr>
            <w:tcW w:w="567" w:type="dxa"/>
          </w:tcPr>
          <w:p w14:paraId="7BCC497C" w14:textId="77777777" w:rsidR="0068482F" w:rsidRPr="0068482F" w:rsidRDefault="0068482F" w:rsidP="0068482F">
            <w:pPr>
              <w:rPr>
                <w:rStyle w:val="Hyperlink"/>
                <w:rFonts w:hint="cs"/>
                <w:rtl/>
              </w:rPr>
            </w:pPr>
            <w:hyperlink w:anchor="Seif3" w:tooltip="סמכויות פקיד היערות" w:history="1">
              <w:r w:rsidRPr="006848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72C0F15" w14:textId="77777777" w:rsidR="0068482F" w:rsidRPr="0068482F" w:rsidRDefault="0068482F" w:rsidP="0068482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8482F" w:rsidRPr="0068482F" w14:paraId="256E474C" w14:textId="77777777" w:rsidTr="0068482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DA08729" w14:textId="77777777" w:rsidR="0068482F" w:rsidRPr="0068482F" w:rsidRDefault="0068482F" w:rsidP="0068482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626DE46B" w14:textId="77777777" w:rsidR="0068482F" w:rsidRPr="0068482F" w:rsidRDefault="0068482F" w:rsidP="0068482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ביטול סמכויות</w:t>
            </w:r>
          </w:p>
        </w:tc>
        <w:tc>
          <w:tcPr>
            <w:tcW w:w="567" w:type="dxa"/>
          </w:tcPr>
          <w:p w14:paraId="2CE0C360" w14:textId="77777777" w:rsidR="0068482F" w:rsidRPr="0068482F" w:rsidRDefault="0068482F" w:rsidP="0068482F">
            <w:pPr>
              <w:rPr>
                <w:rStyle w:val="Hyperlink"/>
                <w:rFonts w:hint="cs"/>
                <w:rtl/>
              </w:rPr>
            </w:pPr>
            <w:hyperlink w:anchor="Seif5" w:tooltip="ביטול סמכויות" w:history="1">
              <w:r w:rsidRPr="006848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5B3FFEF" w14:textId="77777777" w:rsidR="0068482F" w:rsidRPr="0068482F" w:rsidRDefault="0068482F" w:rsidP="0068482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8482F" w:rsidRPr="0068482F" w14:paraId="6F1A7C56" w14:textId="77777777" w:rsidTr="0068482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2B1EF6D" w14:textId="77777777" w:rsidR="0068482F" w:rsidRPr="0068482F" w:rsidRDefault="0068482F" w:rsidP="0068482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4F3AE0A5" w14:textId="77777777" w:rsidR="0068482F" w:rsidRPr="0068482F" w:rsidRDefault="0068482F" w:rsidP="0068482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תקנות</w:t>
            </w:r>
          </w:p>
        </w:tc>
        <w:tc>
          <w:tcPr>
            <w:tcW w:w="567" w:type="dxa"/>
          </w:tcPr>
          <w:p w14:paraId="20C8EEB0" w14:textId="77777777" w:rsidR="0068482F" w:rsidRPr="0068482F" w:rsidRDefault="0068482F" w:rsidP="0068482F">
            <w:pPr>
              <w:rPr>
                <w:rStyle w:val="Hyperlink"/>
                <w:rFonts w:hint="cs"/>
                <w:rtl/>
              </w:rPr>
            </w:pPr>
            <w:hyperlink w:anchor="Seif4" w:tooltip="תקנות" w:history="1">
              <w:r w:rsidRPr="006848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799A1F" w14:textId="77777777" w:rsidR="0068482F" w:rsidRPr="0068482F" w:rsidRDefault="0068482F" w:rsidP="0068482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8482F" w:rsidRPr="0068482F" w14:paraId="097CF60B" w14:textId="77777777" w:rsidTr="0068482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20F0B7" w14:textId="77777777" w:rsidR="0068482F" w:rsidRPr="0068482F" w:rsidRDefault="0068482F" w:rsidP="0068482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18BF97E4" w14:textId="77777777" w:rsidR="0068482F" w:rsidRPr="0068482F" w:rsidRDefault="0068482F" w:rsidP="0068482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תשריר</w:t>
            </w:r>
          </w:p>
        </w:tc>
        <w:tc>
          <w:tcPr>
            <w:tcW w:w="567" w:type="dxa"/>
          </w:tcPr>
          <w:p w14:paraId="0932BF87" w14:textId="77777777" w:rsidR="0068482F" w:rsidRPr="0068482F" w:rsidRDefault="0068482F" w:rsidP="0068482F">
            <w:pPr>
              <w:rPr>
                <w:rStyle w:val="Hyperlink"/>
                <w:rFonts w:hint="cs"/>
                <w:rtl/>
              </w:rPr>
            </w:pPr>
            <w:hyperlink w:anchor="Seif6" w:tooltip="תשריר" w:history="1">
              <w:r w:rsidRPr="006848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AEA4C45" w14:textId="77777777" w:rsidR="0068482F" w:rsidRPr="0068482F" w:rsidRDefault="0068482F" w:rsidP="0068482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8482F" w:rsidRPr="0068482F" w14:paraId="3D5D836C" w14:textId="77777777" w:rsidTr="0068482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F7CAF5" w14:textId="77777777" w:rsidR="0068482F" w:rsidRPr="0068482F" w:rsidRDefault="0068482F" w:rsidP="0068482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5231CD01" w14:textId="77777777" w:rsidR="0068482F" w:rsidRPr="0068482F" w:rsidRDefault="0068482F" w:rsidP="0068482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תחילת תוקף</w:t>
            </w:r>
          </w:p>
        </w:tc>
        <w:tc>
          <w:tcPr>
            <w:tcW w:w="567" w:type="dxa"/>
          </w:tcPr>
          <w:p w14:paraId="5B927B73" w14:textId="77777777" w:rsidR="0068482F" w:rsidRPr="0068482F" w:rsidRDefault="0068482F" w:rsidP="0068482F">
            <w:pPr>
              <w:rPr>
                <w:rStyle w:val="Hyperlink"/>
                <w:rFonts w:hint="cs"/>
                <w:rtl/>
              </w:rPr>
            </w:pPr>
            <w:hyperlink w:anchor="Seif8" w:tooltip="תחילת תוקף" w:history="1">
              <w:r w:rsidRPr="006848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D96CDAF" w14:textId="77777777" w:rsidR="0068482F" w:rsidRPr="0068482F" w:rsidRDefault="0068482F" w:rsidP="0068482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Seif8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68482F" w:rsidRPr="0068482F" w14:paraId="4A316E5D" w14:textId="77777777" w:rsidTr="0068482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7879FB3" w14:textId="77777777" w:rsidR="0068482F" w:rsidRPr="0068482F" w:rsidRDefault="0068482F" w:rsidP="0068482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39066B39" w14:textId="77777777" w:rsidR="0068482F" w:rsidRPr="0068482F" w:rsidRDefault="0068482F" w:rsidP="0068482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14:paraId="464C3157" w14:textId="77777777" w:rsidR="0068482F" w:rsidRPr="0068482F" w:rsidRDefault="0068482F" w:rsidP="0068482F">
            <w:pPr>
              <w:rPr>
                <w:rStyle w:val="Hyperlink"/>
                <w:rFonts w:hint="cs"/>
                <w:rtl/>
              </w:rPr>
            </w:pPr>
            <w:hyperlink w:anchor="Seif7" w:tooltip="השם" w:history="1">
              <w:r w:rsidRPr="006848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40DA2F4" w14:textId="77777777" w:rsidR="0068482F" w:rsidRPr="0068482F" w:rsidRDefault="0068482F" w:rsidP="0068482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6563CC36" w14:textId="77777777"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</w:p>
    <w:p w14:paraId="409E1912" w14:textId="77777777"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יהודה והשומרון</w:t>
      </w:r>
    </w:p>
    <w:p w14:paraId="0C349F22" w14:textId="77777777" w:rsidR="006F4B89" w:rsidRDefault="00776715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 w:hint="cs"/>
          <w:sz w:val="32"/>
          <w:rtl/>
        </w:rPr>
        <w:t>צו בדבר חוקי יעור ויערות (יהודה והשומרון) (מס' 306), תשכ"ט-1969</w:t>
      </w:r>
      <w:r w:rsidR="006F4B89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9C99BCA" w14:textId="77777777" w:rsidR="006F4B89" w:rsidRDefault="006F4B89" w:rsidP="004163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6F436B">
        <w:rPr>
          <w:rStyle w:val="default"/>
          <w:rFonts w:cs="FrankRuehl" w:hint="cs"/>
          <w:rtl/>
        </w:rPr>
        <w:t xml:space="preserve">בתוקף סמכותי </w:t>
      </w:r>
      <w:r w:rsidR="004163E5">
        <w:rPr>
          <w:rStyle w:val="default"/>
          <w:rFonts w:cs="FrankRuehl" w:hint="cs"/>
          <w:rtl/>
        </w:rPr>
        <w:t>כמפקד האזור</w:t>
      </w:r>
      <w:r w:rsidR="00D9486D">
        <w:rPr>
          <w:rStyle w:val="default"/>
          <w:rFonts w:cs="FrankRuehl" w:hint="cs"/>
          <w:rtl/>
        </w:rPr>
        <w:t xml:space="preserve">, </w:t>
      </w:r>
      <w:r w:rsidR="006F436B">
        <w:rPr>
          <w:rStyle w:val="default"/>
          <w:rFonts w:cs="FrankRuehl" w:hint="cs"/>
          <w:rtl/>
        </w:rPr>
        <w:t xml:space="preserve">הנני </w:t>
      </w:r>
      <w:r w:rsidR="004163E5">
        <w:rPr>
          <w:rStyle w:val="default"/>
          <w:rFonts w:cs="FrankRuehl" w:hint="cs"/>
          <w:rtl/>
        </w:rPr>
        <w:t xml:space="preserve">מצווה </w:t>
      </w:r>
      <w:r w:rsidR="006F436B">
        <w:rPr>
          <w:rStyle w:val="default"/>
          <w:rFonts w:cs="FrankRuehl" w:hint="cs"/>
          <w:rtl/>
        </w:rPr>
        <w:t>בזה לאמור:</w:t>
      </w:r>
    </w:p>
    <w:p w14:paraId="266A7651" w14:textId="77777777" w:rsidR="006F4B89" w:rsidRDefault="006F4B89" w:rsidP="00D731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4105C306">
          <v:rect id="_x0000_s1026" style="position:absolute;left:0;text-align:left;margin-left:468pt;margin-top:7.1pt;width:71.4pt;height:11.95pt;z-index:251652608" o:allowincell="f" filled="f" stroked="f" strokecolor="lime" strokeweight=".25pt">
            <v:textbox style="mso-next-textbox:#_x0000_s1026" inset="0,0,0,0">
              <w:txbxContent>
                <w:p w14:paraId="10D5A7D9" w14:textId="77777777" w:rsidR="008602F7" w:rsidRDefault="002E465B" w:rsidP="008602F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C43DC5">
        <w:rPr>
          <w:rStyle w:val="default"/>
          <w:rFonts w:cs="FrankRuehl" w:hint="cs"/>
          <w:rtl/>
        </w:rPr>
        <w:t xml:space="preserve">בצו זה </w:t>
      </w:r>
      <w:r w:rsidR="00C43DC5">
        <w:rPr>
          <w:rStyle w:val="default"/>
          <w:rFonts w:cs="FrankRuehl"/>
          <w:rtl/>
        </w:rPr>
        <w:t>–</w:t>
      </w:r>
    </w:p>
    <w:p w14:paraId="5D49C469" w14:textId="77777777" w:rsidR="002E465B" w:rsidRDefault="002E465B" w:rsidP="00D731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"חוקי היעור והיערות" </w:t>
      </w:r>
      <w:r>
        <w:rPr>
          <w:rStyle w:val="default"/>
          <w:rFonts w:cs="FrankRuehl"/>
          <w:rtl/>
        </w:rPr>
        <w:t>–</w:t>
      </w:r>
    </w:p>
    <w:p w14:paraId="7200D8D1" w14:textId="77777777" w:rsidR="002E465B" w:rsidRDefault="00C52529" w:rsidP="00C52529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1517A376">
          <v:shapetype id="_x0000_t202" coordsize="21600,21600" o:spt="202" path="m,l,21600r21600,l21600,xe">
            <v:stroke joinstyle="miter"/>
            <v:path gradientshapeok="t" o:connecttype="rect"/>
          </v:shapetype>
          <v:shape id="_x0000_s1746" type="#_x0000_t202" style="position:absolute;left:0;text-align:left;margin-left:470.35pt;margin-top:7.1pt;width:1in;height:22.8pt;z-index:251660800" filled="f" stroked="f">
            <v:textbox inset="1mm,0,1mm,0">
              <w:txbxContent>
                <w:p w14:paraId="4167B6C3" w14:textId="77777777" w:rsidR="00C52529" w:rsidRDefault="00C52529" w:rsidP="00C52529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תיקון מס' 1 (מס' 1764) תשע"ו-2016</w:t>
                  </w:r>
                </w:p>
              </w:txbxContent>
            </v:textbox>
            <w10:anchorlock/>
          </v:shape>
        </w:pict>
      </w:r>
      <w:r w:rsidR="002E465B">
        <w:rPr>
          <w:rStyle w:val="default"/>
          <w:rFonts w:cs="FrankRuehl" w:hint="cs"/>
          <w:rtl/>
        </w:rPr>
        <w:t>(1)</w:t>
      </w:r>
      <w:r w:rsidR="002E465B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(נמחקה)</w:t>
      </w:r>
      <w:r w:rsidR="002E465B">
        <w:rPr>
          <w:rStyle w:val="default"/>
          <w:rFonts w:cs="FrankRuehl" w:hint="cs"/>
          <w:rtl/>
        </w:rPr>
        <w:t>;</w:t>
      </w:r>
    </w:p>
    <w:p w14:paraId="258AC09D" w14:textId="77777777" w:rsidR="002E465B" w:rsidRDefault="00C52529" w:rsidP="00C52529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46E69705">
          <v:shape id="_x0000_s1749" type="#_x0000_t202" style="position:absolute;left:0;text-align:left;margin-left:470.35pt;margin-top:7.1pt;width:1in;height:18pt;z-index:251661824" filled="f" stroked="f">
            <v:textbox inset="1mm,0,1mm,0">
              <w:txbxContent>
                <w:p w14:paraId="6F62C3CF" w14:textId="77777777" w:rsidR="00C52529" w:rsidRDefault="00C52529" w:rsidP="00C52529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תיקון מס' 1 (מס' 1764) תשע"ו-2016</w:t>
                  </w:r>
                </w:p>
              </w:txbxContent>
            </v:textbox>
            <w10:anchorlock/>
          </v:shape>
        </w:pict>
      </w:r>
      <w:r w:rsidR="002E465B">
        <w:rPr>
          <w:rStyle w:val="default"/>
          <w:rFonts w:cs="FrankRuehl" w:hint="cs"/>
          <w:rtl/>
        </w:rPr>
        <w:t>(2)</w:t>
      </w:r>
      <w:r w:rsidR="002E465B">
        <w:rPr>
          <w:rStyle w:val="default"/>
          <w:rFonts w:cs="FrankRuehl" w:hint="cs"/>
          <w:rtl/>
        </w:rPr>
        <w:tab/>
      </w:r>
      <w:r w:rsidRPr="00C52529">
        <w:rPr>
          <w:rStyle w:val="default"/>
          <w:rFonts w:cs="FrankRuehl" w:hint="cs"/>
          <w:rtl/>
        </w:rPr>
        <w:t>חוק החורשות והיערות, לשנת 1927</w:t>
      </w:r>
      <w:r w:rsidR="002E465B">
        <w:rPr>
          <w:rStyle w:val="default"/>
          <w:rFonts w:cs="FrankRuehl" w:hint="cs"/>
          <w:rtl/>
        </w:rPr>
        <w:t>;</w:t>
      </w:r>
    </w:p>
    <w:p w14:paraId="570C1615" w14:textId="77777777" w:rsidR="002E465B" w:rsidRDefault="002E465B" w:rsidP="00D31A7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חוק נטיעות חובה, מס' 35 לשנת 1958;</w:t>
      </w:r>
    </w:p>
    <w:p w14:paraId="05B815AC" w14:textId="77777777" w:rsidR="002E465B" w:rsidRDefault="002E465B" w:rsidP="00D31A7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חוק יעור חובה, מס' 15 לשנת 1962;</w:t>
      </w:r>
    </w:p>
    <w:p w14:paraId="02242C7F" w14:textId="77777777" w:rsidR="002E465B" w:rsidRDefault="002E465B" w:rsidP="00D31A7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חוק הגנת העצים והצומח, מס' 85 לשנת 1966;</w:t>
      </w:r>
    </w:p>
    <w:p w14:paraId="40CBC2C7" w14:textId="77777777" w:rsidR="002E465B" w:rsidRDefault="002E465B" w:rsidP="00D31A7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חוק איסור רעיית עזים, מס' 18 לשנת 1952;</w:t>
      </w:r>
    </w:p>
    <w:p w14:paraId="63FC2070" w14:textId="77777777" w:rsidR="002E465B" w:rsidRDefault="002E465B" w:rsidP="00D31A7B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>החוק הזמני על איסור גידול עזים מס' 31 לשנת 1965, וכל תקנה, הוראה או צו, שהותקנו על פיהם או מכוחם;</w:t>
      </w:r>
    </w:p>
    <w:p w14:paraId="5A7558DB" w14:textId="77777777" w:rsidR="00C52529" w:rsidRPr="00314EEE" w:rsidRDefault="00C52529" w:rsidP="00C52529">
      <w:pPr>
        <w:pStyle w:val="P00"/>
        <w:spacing w:before="0"/>
        <w:ind w:left="1021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9"/>
      <w:r w:rsidRPr="00314EE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13.1.2016</w:t>
      </w:r>
    </w:p>
    <w:p w14:paraId="62DEA02D" w14:textId="77777777" w:rsidR="00C52529" w:rsidRPr="00314EEE" w:rsidRDefault="00C52529" w:rsidP="00C52529">
      <w:pPr>
        <w:pStyle w:val="P00"/>
        <w:spacing w:before="0"/>
        <w:ind w:left="1021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314EE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 (מס' 1764) תשע"ו-2016</w:t>
      </w:r>
    </w:p>
    <w:p w14:paraId="11B3B74A" w14:textId="77777777" w:rsidR="00314EEE" w:rsidRPr="00314EEE" w:rsidRDefault="00314EEE" w:rsidP="00C52529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314E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244</w:t>
        </w:r>
      </w:hyperlink>
      <w:r w:rsidRPr="00314EE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מחודש אוגוסט 2016 עמ' 7454</w:t>
      </w:r>
    </w:p>
    <w:p w14:paraId="368B5CAA" w14:textId="77777777" w:rsidR="00C52529" w:rsidRPr="00314EEE" w:rsidRDefault="00C52529" w:rsidP="00C52529">
      <w:pPr>
        <w:pStyle w:val="P0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14E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314E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14E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פקודת היערות, 1926</w:t>
      </w:r>
      <w:r w:rsidRPr="00314E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14:paraId="1B6EA3E0" w14:textId="77777777" w:rsidR="00C52529" w:rsidRPr="00413E73" w:rsidRDefault="00C52529" w:rsidP="00413E73">
      <w:pPr>
        <w:pStyle w:val="P00"/>
        <w:spacing w:before="0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314E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314E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14E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חוק היעור והיערות, 1927</w:t>
      </w:r>
      <w:r w:rsidRPr="00314E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14E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חוק החורשות והיערות, לשנת 1927</w:t>
      </w:r>
      <w:r w:rsidRPr="00314E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  <w:bookmarkEnd w:id="1"/>
    </w:p>
    <w:p w14:paraId="7E91921A" w14:textId="77777777" w:rsidR="002E465B" w:rsidRDefault="002E465B" w:rsidP="00D731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"פקיד היערות"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שיתמנה </w:t>
      </w:r>
      <w:r w:rsidR="00D31A7B">
        <w:rPr>
          <w:rStyle w:val="default"/>
          <w:rFonts w:cs="FrankRuehl" w:hint="cs"/>
          <w:rtl/>
        </w:rPr>
        <w:t>על-ידי הרשות המוסמכת להיות פקיד יערות;</w:t>
      </w:r>
    </w:p>
    <w:p w14:paraId="319EE575" w14:textId="77777777" w:rsidR="00D31A7B" w:rsidRDefault="00413E73" w:rsidP="00D731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173C7AA7">
          <v:shape id="_x0000_s1752" type="#_x0000_t202" style="position:absolute;left:0;text-align:left;margin-left:470.35pt;margin-top:7.1pt;width:1in;height:18pt;z-index:251662848" filled="f" stroked="f">
            <v:textbox inset="1mm,0,1mm,0">
              <w:txbxContent>
                <w:p w14:paraId="5D4079D6" w14:textId="77777777" w:rsidR="00413E73" w:rsidRDefault="00413E73" w:rsidP="00413E73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תיקון מס' 1 (מס' 1764) תשע"ו-2016</w:t>
                  </w:r>
                </w:p>
              </w:txbxContent>
            </v:textbox>
            <w10:anchorlock/>
          </v:shape>
        </w:pict>
      </w:r>
      <w:r w:rsidR="00D31A7B">
        <w:rPr>
          <w:rStyle w:val="default"/>
          <w:rFonts w:cs="FrankRuehl" w:hint="cs"/>
          <w:rtl/>
        </w:rPr>
        <w:tab/>
        <w:t xml:space="preserve">"רשות מוסמכת" </w:t>
      </w:r>
      <w:r w:rsidR="00D31A7B">
        <w:rPr>
          <w:rStyle w:val="default"/>
          <w:rFonts w:cs="FrankRuehl"/>
          <w:rtl/>
        </w:rPr>
        <w:t>–</w:t>
      </w:r>
      <w:r w:rsidR="00D31A7B">
        <w:rPr>
          <w:rStyle w:val="default"/>
          <w:rFonts w:cs="FrankRuehl" w:hint="cs"/>
          <w:rtl/>
        </w:rPr>
        <w:t xml:space="preserve"> מי שיתמנה על-ידי כרשות מוסמכת</w:t>
      </w:r>
      <w:r w:rsidRPr="00413E73">
        <w:rPr>
          <w:rStyle w:val="default"/>
          <w:rFonts w:cs="FrankRuehl" w:hint="cs"/>
          <w:rtl/>
        </w:rPr>
        <w:t>, לרבות מי שהרשות המוסמכת אצלה לו מסמכותה, בין ביחס לכל שטח האזור ובין ביחס לכל חלק ממנו, לעניין פלוני או לסוג עניינים, זולת סמכויותיה להתקין תקנות, לקבוע אגרות ולמנות מינויים</w:t>
      </w:r>
      <w:r w:rsidR="00D31A7B">
        <w:rPr>
          <w:rStyle w:val="default"/>
          <w:rFonts w:cs="FrankRuehl" w:hint="cs"/>
          <w:rtl/>
        </w:rPr>
        <w:t xml:space="preserve"> לעניין צו זה.</w:t>
      </w:r>
    </w:p>
    <w:p w14:paraId="37D596A4" w14:textId="77777777" w:rsidR="00C52529" w:rsidRPr="00314EEE" w:rsidRDefault="00C52529" w:rsidP="00C5252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10"/>
      <w:r w:rsidRPr="00314EE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13.1.2016</w:t>
      </w:r>
    </w:p>
    <w:p w14:paraId="1800E2F4" w14:textId="77777777" w:rsidR="00C52529" w:rsidRPr="00314EEE" w:rsidRDefault="00C52529" w:rsidP="00C5252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14EE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 (מס' 1764) תשע"ו-2016</w:t>
      </w:r>
    </w:p>
    <w:p w14:paraId="750F6827" w14:textId="77777777" w:rsidR="00314EEE" w:rsidRPr="00314EEE" w:rsidRDefault="00314EEE" w:rsidP="00314EE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314E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244</w:t>
        </w:r>
      </w:hyperlink>
      <w:r w:rsidRPr="00314EE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מחודש אוגוסט 2016 עמ' 7454</w:t>
      </w:r>
    </w:p>
    <w:p w14:paraId="6B1BA53D" w14:textId="77777777" w:rsidR="00413E73" w:rsidRPr="00413E73" w:rsidRDefault="00413E73" w:rsidP="00413E73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14E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"רשות מוסמכת" </w:t>
      </w:r>
      <w:r w:rsidRPr="00314E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314E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מי שיתמנה על-ידי כרשות מוסמכת</w:t>
      </w:r>
      <w:r w:rsidRPr="00314E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 לרבות מי שהרשות המוסמכת אצלה לו מסמכותה, בין ביחס לכל שטח האזור ובין ביחס לכל חלק ממנו, לעניין פלוני או לסוג עניינים, זולת סמכויותיה להתקין תקנות, לקבוע אגרות ולמנות מינויים</w:t>
      </w:r>
      <w:r w:rsidRPr="00314E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לעניין צו זה.</w:t>
      </w:r>
      <w:bookmarkEnd w:id="2"/>
    </w:p>
    <w:p w14:paraId="1E9F05C8" w14:textId="77777777" w:rsidR="006F4B89" w:rsidRDefault="006F4B89" w:rsidP="00D31A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rFonts w:cs="Miriam"/>
          <w:lang w:val="he-IL"/>
        </w:rPr>
        <w:pict w14:anchorId="063A185C">
          <v:rect id="_x0000_s1214" style="position:absolute;left:0;text-align:left;margin-left:464.35pt;margin-top:7.1pt;width:75.05pt;height:20.05pt;z-index:251653632" o:allowincell="f" filled="f" stroked="f" strokecolor="lime" strokeweight=".25pt">
            <v:textbox style="mso-next-textbox:#_x0000_s1214" inset="0,0,0,0">
              <w:txbxContent>
                <w:p w14:paraId="414CB7A2" w14:textId="77777777" w:rsidR="004001D2" w:rsidRDefault="00D31A7B" w:rsidP="00E8422E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סמכויות הרשות המוסמכת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D31A7B">
        <w:rPr>
          <w:rStyle w:val="default"/>
          <w:rFonts w:cs="FrankRuehl" w:hint="cs"/>
          <w:rtl/>
        </w:rPr>
        <w:t xml:space="preserve">כל סמכות, כל מינוי וכל תפקיד שהוקנו לפי חוקי היעור והיערות או מכוחם לממשלה הירדנית, לרשות מרשויותיה ולכל אדם, למעט רשות מקומית </w:t>
      </w:r>
      <w:r w:rsidR="00D31A7B">
        <w:rPr>
          <w:rStyle w:val="default"/>
          <w:rFonts w:cs="FrankRuehl"/>
          <w:rtl/>
        </w:rPr>
        <w:t>–</w:t>
      </w:r>
      <w:r w:rsidR="00D31A7B">
        <w:rPr>
          <w:rStyle w:val="default"/>
          <w:rFonts w:cs="FrankRuehl" w:hint="cs"/>
          <w:rtl/>
        </w:rPr>
        <w:t xml:space="preserve"> יהיו נתונים לרשות המוסמכת</w:t>
      </w:r>
      <w:r w:rsidR="007541BB">
        <w:rPr>
          <w:rStyle w:val="default"/>
          <w:rFonts w:cs="FrankRuehl" w:hint="cs"/>
          <w:rtl/>
        </w:rPr>
        <w:t>.</w:t>
      </w:r>
    </w:p>
    <w:p w14:paraId="55AD7D6E" w14:textId="77777777" w:rsidR="006F4B89" w:rsidRDefault="006F4B89" w:rsidP="00D31A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3"/>
      <w:bookmarkEnd w:id="4"/>
      <w:r>
        <w:rPr>
          <w:rFonts w:cs="Miriam"/>
          <w:lang w:val="he-IL"/>
        </w:rPr>
        <w:pict w14:anchorId="7DC54408">
          <v:rect id="_x0000_s1239" style="position:absolute;left:0;text-align:left;margin-left:464.35pt;margin-top:7.1pt;width:75.05pt;height:33.45pt;z-index:251654656" o:allowincell="f" filled="f" stroked="f" strokecolor="lime" strokeweight=".25pt">
            <v:textbox style="mso-next-textbox:#_x0000_s1239" inset="0,0,0,0">
              <w:txbxContent>
                <w:p w14:paraId="69A6DEE5" w14:textId="77777777" w:rsidR="004001D2" w:rsidRDefault="00D31A7B" w:rsidP="00E57FE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סמכויות פקיד היערות</w:t>
                  </w:r>
                </w:p>
                <w:p w14:paraId="41C1F213" w14:textId="77777777" w:rsidR="00413E73" w:rsidRDefault="00413E73" w:rsidP="00413E73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תיקון מס' 1 (מס' 1764) תשע"ו-2016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D31A7B">
        <w:rPr>
          <w:rStyle w:val="default"/>
          <w:rFonts w:cs="FrankRuehl" w:hint="cs"/>
          <w:rtl/>
        </w:rPr>
        <w:t>כל סמכות שניתנה בחוקי היעור והיערות למפקח יעור או לפקיד היערות</w:t>
      </w:r>
      <w:r w:rsidR="00413E73">
        <w:rPr>
          <w:rStyle w:val="default"/>
          <w:rFonts w:cs="FrankRuehl" w:hint="cs"/>
          <w:rtl/>
        </w:rPr>
        <w:t xml:space="preserve"> או לשומר חורשות</w:t>
      </w:r>
      <w:r w:rsidR="00D31A7B">
        <w:rPr>
          <w:rStyle w:val="default"/>
          <w:rFonts w:cs="FrankRuehl" w:hint="cs"/>
          <w:rtl/>
        </w:rPr>
        <w:t xml:space="preserve"> כמשמעותם בחוקי היעור והיערות תהיה נתונה לפקיד היערות</w:t>
      </w:r>
      <w:r w:rsidR="00D9486D">
        <w:rPr>
          <w:rStyle w:val="default"/>
          <w:rFonts w:cs="FrankRuehl" w:hint="cs"/>
          <w:rtl/>
        </w:rPr>
        <w:t>.</w:t>
      </w:r>
    </w:p>
    <w:p w14:paraId="7BB1D281" w14:textId="77777777" w:rsidR="00413E73" w:rsidRPr="00314EEE" w:rsidRDefault="00413E73" w:rsidP="00413E7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11"/>
      <w:r w:rsidRPr="00314EE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13.1.2016</w:t>
      </w:r>
    </w:p>
    <w:p w14:paraId="6FE58E21" w14:textId="77777777" w:rsidR="00413E73" w:rsidRPr="00314EEE" w:rsidRDefault="00413E73" w:rsidP="00413E7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314EE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 (מס' 1764) תשע"ו-2016</w:t>
      </w:r>
    </w:p>
    <w:p w14:paraId="548A7E26" w14:textId="77777777" w:rsidR="00314EEE" w:rsidRPr="00314EEE" w:rsidRDefault="00314EEE" w:rsidP="00314EE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314EE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244</w:t>
        </w:r>
      </w:hyperlink>
      <w:r w:rsidRPr="00314EE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מחודש אוגוסט 2016 עמ' 7457</w:t>
      </w:r>
    </w:p>
    <w:p w14:paraId="601662E0" w14:textId="77777777" w:rsidR="00413E73" w:rsidRPr="00413E73" w:rsidRDefault="00413E73" w:rsidP="00413E73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314E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314E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314E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314E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סמכות שניתנה בחוקי היעור והיערות למפקח יעור או לפקיד היערות </w:t>
      </w:r>
      <w:r w:rsidRPr="00314E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לשומר חורשות</w:t>
      </w:r>
      <w:r w:rsidRPr="00314E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כמשמעותם בחוקי היעור והיערות תהיה נתונה לפקיד היערות.</w:t>
      </w:r>
      <w:bookmarkEnd w:id="5"/>
    </w:p>
    <w:p w14:paraId="55DC1ADE" w14:textId="77777777" w:rsidR="00077E5B" w:rsidRDefault="00077E5B" w:rsidP="00D31A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5"/>
      <w:bookmarkEnd w:id="6"/>
      <w:r>
        <w:rPr>
          <w:rFonts w:cs="Miriam"/>
          <w:lang w:val="he-IL"/>
        </w:rPr>
        <w:pict w14:anchorId="13CFD31B">
          <v:rect id="_x0000_s1579" style="position:absolute;left:0;text-align:left;margin-left:464.35pt;margin-top:7.1pt;width:75.05pt;height:12.55pt;z-index:251656704" o:allowincell="f" filled="f" stroked="f" strokecolor="lime" strokeweight=".25pt">
            <v:textbox style="mso-next-textbox:#_x0000_s1579" inset="0,0,0,0">
              <w:txbxContent>
                <w:p w14:paraId="2298FDF1" w14:textId="77777777" w:rsidR="004001D2" w:rsidRDefault="00D31A7B" w:rsidP="00077E5B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ביטול סמכויות</w:t>
                  </w:r>
                </w:p>
              </w:txbxContent>
            </v:textbox>
            <w10:anchorlock/>
          </v:rect>
        </w:pict>
      </w:r>
      <w:r w:rsidR="00EC3AA4">
        <w:rPr>
          <w:rStyle w:val="big-number"/>
          <w:rFonts w:cs="Miriam"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D31A7B">
        <w:rPr>
          <w:rStyle w:val="default"/>
          <w:rFonts w:cs="FrankRuehl" w:hint="cs"/>
          <w:rtl/>
        </w:rPr>
        <w:t xml:space="preserve">כל מינוי, כל סמכות וכל תפקיד שהוקנו כאמור בסעיפים 2 ו-3 לפני היום הקובע </w:t>
      </w:r>
      <w:r w:rsidR="00D31A7B">
        <w:rPr>
          <w:rStyle w:val="default"/>
          <w:rFonts w:cs="FrankRuehl"/>
          <w:rtl/>
        </w:rPr>
        <w:t>–</w:t>
      </w:r>
      <w:r w:rsidR="00D31A7B">
        <w:rPr>
          <w:rStyle w:val="default"/>
          <w:rFonts w:cs="FrankRuehl" w:hint="cs"/>
          <w:rtl/>
        </w:rPr>
        <w:t xml:space="preserve"> בטלים; אולם הרשות המוסמכת רשאית ליתן להם תוקף מחדש</w:t>
      </w:r>
      <w:r w:rsidR="00A575F1">
        <w:rPr>
          <w:rStyle w:val="default"/>
          <w:rFonts w:cs="FrankRuehl" w:hint="cs"/>
          <w:rtl/>
        </w:rPr>
        <w:t>.</w:t>
      </w:r>
    </w:p>
    <w:p w14:paraId="77FF9B46" w14:textId="77777777" w:rsidR="006F4B89" w:rsidRDefault="006F4B89" w:rsidP="00D31A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4"/>
      <w:bookmarkEnd w:id="7"/>
      <w:r>
        <w:rPr>
          <w:rFonts w:cs="Miriam"/>
          <w:lang w:val="he-IL"/>
        </w:rPr>
        <w:pict w14:anchorId="26E27160">
          <v:rect id="_x0000_s1253" style="position:absolute;left:0;text-align:left;margin-left:464.35pt;margin-top:7.1pt;width:75.05pt;height:11.8pt;z-index:251655680" o:allowincell="f" filled="f" stroked="f" strokecolor="lime" strokeweight=".25pt">
            <v:textbox style="mso-next-textbox:#_x0000_s1253" inset="0,0,0,0">
              <w:txbxContent>
                <w:p w14:paraId="1ABD2FF5" w14:textId="77777777" w:rsidR="004001D2" w:rsidRDefault="00D31A7B" w:rsidP="00E8422E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תקנות</w:t>
                  </w:r>
                </w:p>
              </w:txbxContent>
            </v:textbox>
            <w10:anchorlock/>
          </v:rect>
        </w:pict>
      </w:r>
      <w:r w:rsidR="00EC3AA4">
        <w:rPr>
          <w:rStyle w:val="big-number"/>
          <w:rFonts w:cs="Miriam" w:hint="cs"/>
          <w:rtl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D31A7B">
        <w:rPr>
          <w:rStyle w:val="default"/>
          <w:rFonts w:cs="FrankRuehl" w:hint="cs"/>
          <w:rtl/>
        </w:rPr>
        <w:t>הרשות המוסמכת רשאית לקבוע, בתקנות, את שיעור האגרות שייגבו על רשיונות לפי חוקי היעור והיערות</w:t>
      </w:r>
      <w:r w:rsidR="00D9486D">
        <w:rPr>
          <w:rStyle w:val="default"/>
          <w:rFonts w:cs="FrankRuehl" w:hint="cs"/>
          <w:rtl/>
        </w:rPr>
        <w:t>.</w:t>
      </w:r>
    </w:p>
    <w:p w14:paraId="23F4CA76" w14:textId="77777777" w:rsidR="00851E27" w:rsidRDefault="00851E27" w:rsidP="00D31A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6"/>
      <w:bookmarkEnd w:id="8"/>
      <w:r>
        <w:rPr>
          <w:rFonts w:cs="Miriam"/>
          <w:lang w:val="he-IL"/>
        </w:rPr>
        <w:pict w14:anchorId="58243D0D">
          <v:rect id="_x0000_s1629" style="position:absolute;left:0;text-align:left;margin-left:464.35pt;margin-top:7.1pt;width:75.05pt;height:14.35pt;z-index:251657728" o:allowincell="f" filled="f" stroked="f" strokecolor="lime" strokeweight=".25pt">
            <v:textbox style="mso-next-textbox:#_x0000_s1629" inset="0,0,0,0">
              <w:txbxContent>
                <w:p w14:paraId="117DF625" w14:textId="77777777" w:rsidR="004001D2" w:rsidRDefault="00D31A7B" w:rsidP="00E8422E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תשריר</w:t>
                  </w:r>
                </w:p>
              </w:txbxContent>
            </v:textbox>
            <w10:anchorlock/>
          </v:rect>
        </w:pict>
      </w:r>
      <w:r w:rsidR="00567A5F">
        <w:rPr>
          <w:rStyle w:val="big-number"/>
          <w:rFonts w:cs="Miriam" w:hint="cs"/>
          <w:rtl/>
        </w:rPr>
        <w:t>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D31A7B">
        <w:rPr>
          <w:rStyle w:val="default"/>
          <w:rFonts w:cs="FrankRuehl" w:hint="cs"/>
          <w:rtl/>
        </w:rPr>
        <w:t xml:space="preserve">כל פעולה שנעשתה על ידי הרשות המוסמכת או מטעמה לפני תחילתו של צו זה </w:t>
      </w:r>
      <w:r w:rsidR="00D31A7B">
        <w:rPr>
          <w:rStyle w:val="default"/>
          <w:rFonts w:cs="FrankRuehl"/>
          <w:rtl/>
        </w:rPr>
        <w:t>–</w:t>
      </w:r>
      <w:r w:rsidR="00D31A7B">
        <w:rPr>
          <w:rStyle w:val="default"/>
          <w:rFonts w:cs="FrankRuehl" w:hint="cs"/>
          <w:rtl/>
        </w:rPr>
        <w:t xml:space="preserve"> יראו אותה כאילו נעשתה על-פי צו זה</w:t>
      </w:r>
      <w:r w:rsidR="00567A5F">
        <w:rPr>
          <w:rStyle w:val="default"/>
          <w:rFonts w:cs="FrankRuehl" w:hint="cs"/>
          <w:rtl/>
        </w:rPr>
        <w:t>.</w:t>
      </w:r>
    </w:p>
    <w:p w14:paraId="0107D86E" w14:textId="77777777" w:rsidR="00776715" w:rsidRDefault="00776715" w:rsidP="00D31A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8"/>
      <w:bookmarkEnd w:id="9"/>
      <w:r>
        <w:rPr>
          <w:rFonts w:cs="Miriam"/>
          <w:lang w:val="he-IL"/>
        </w:rPr>
        <w:pict w14:anchorId="0146F903">
          <v:rect id="_x0000_s1743" style="position:absolute;left:0;text-align:left;margin-left:464.35pt;margin-top:7.1pt;width:75.05pt;height:14.05pt;z-index:251659776" o:allowincell="f" filled="f" stroked="f" strokecolor="lime" strokeweight=".25pt">
            <v:textbox style="mso-next-textbox:#_x0000_s1743" inset="0,0,0,0">
              <w:txbxContent>
                <w:p w14:paraId="6D1DD74C" w14:textId="77777777" w:rsidR="00776715" w:rsidRDefault="00D31A7B" w:rsidP="00776715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תחילת 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7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D31A7B">
        <w:rPr>
          <w:rStyle w:val="default"/>
          <w:rFonts w:cs="FrankRuehl" w:hint="cs"/>
          <w:rtl/>
        </w:rPr>
        <w:t>תחילתו של צו זה ביום י"ג בניסן תשכ"ט (1 באפריל 1969)</w:t>
      </w:r>
      <w:r>
        <w:rPr>
          <w:rStyle w:val="default"/>
          <w:rFonts w:cs="FrankRuehl" w:hint="cs"/>
          <w:rtl/>
        </w:rPr>
        <w:t>.</w:t>
      </w:r>
    </w:p>
    <w:p w14:paraId="250692FC" w14:textId="77777777" w:rsidR="00851E27" w:rsidRDefault="00851E27" w:rsidP="00D31A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7"/>
      <w:bookmarkEnd w:id="10"/>
      <w:r>
        <w:rPr>
          <w:rFonts w:cs="Miriam"/>
          <w:lang w:val="he-IL"/>
        </w:rPr>
        <w:pict w14:anchorId="1ACBA10A">
          <v:rect id="_x0000_s1630" style="position:absolute;left:0;text-align:left;margin-left:464.35pt;margin-top:7.1pt;width:75.05pt;height:14.05pt;z-index:251658752" o:allowincell="f" filled="f" stroked="f" strokecolor="lime" strokeweight=".25pt">
            <v:textbox style="mso-next-textbox:#_x0000_s1630" inset="0,0,0,0">
              <w:txbxContent>
                <w:p w14:paraId="2AC0F2E7" w14:textId="77777777" w:rsidR="004001D2" w:rsidRDefault="00D9486D" w:rsidP="00851E27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="00D31A7B">
        <w:rPr>
          <w:rStyle w:val="big-number"/>
          <w:rFonts w:cs="Miriam" w:hint="cs"/>
          <w:rtl/>
        </w:rPr>
        <w:t>8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D9486D">
        <w:rPr>
          <w:rStyle w:val="default"/>
          <w:rFonts w:cs="FrankRuehl" w:hint="cs"/>
          <w:rtl/>
        </w:rPr>
        <w:t xml:space="preserve">לצו זה ייקרא "צו </w:t>
      </w:r>
      <w:r w:rsidR="00D31A7B">
        <w:rPr>
          <w:rStyle w:val="default"/>
          <w:rFonts w:cs="FrankRuehl" w:hint="cs"/>
          <w:rtl/>
        </w:rPr>
        <w:t>בדבר חוקי יעור ויערות (יהודה והשומרון) (מס' 306), תשכ"ט-1969"</w:t>
      </w:r>
      <w:r w:rsidR="002A1293">
        <w:rPr>
          <w:rStyle w:val="default"/>
          <w:rFonts w:cs="FrankRuehl" w:hint="cs"/>
          <w:rtl/>
        </w:rPr>
        <w:t>.</w:t>
      </w:r>
    </w:p>
    <w:p w14:paraId="084188AC" w14:textId="77777777" w:rsidR="006C4092" w:rsidRDefault="006C409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524D329" w14:textId="77777777" w:rsidR="00314EEE" w:rsidRDefault="00314EE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C5B596" w14:textId="77777777" w:rsidR="00043FEA" w:rsidRDefault="00043F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D3E3A8" w14:textId="77777777" w:rsidR="006F4B89" w:rsidRDefault="00D31A7B" w:rsidP="00D31A7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י"ט בשבט תשכ"ט (7 בפברואר 1969</w:t>
      </w:r>
      <w:r w:rsidR="006F4B89">
        <w:rPr>
          <w:rStyle w:val="default"/>
          <w:rFonts w:cs="FrankRuehl" w:hint="cs"/>
          <w:rtl/>
        </w:rPr>
        <w:t>)</w:t>
      </w:r>
      <w:r w:rsidR="006F4B89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רפאל ורדי</w:t>
      </w:r>
      <w:r w:rsidR="002134B6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>תת-</w:t>
      </w:r>
      <w:r w:rsidR="002134B6">
        <w:rPr>
          <w:rStyle w:val="default"/>
          <w:rFonts w:cs="FrankRuehl" w:hint="cs"/>
          <w:rtl/>
        </w:rPr>
        <w:t>אלוף</w:t>
      </w:r>
    </w:p>
    <w:p w14:paraId="4AD1654B" w14:textId="77777777" w:rsidR="006F4B89" w:rsidRDefault="00104050" w:rsidP="00D31A7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D9486D">
        <w:rPr>
          <w:rFonts w:cs="FrankRuehl" w:hint="cs"/>
          <w:sz w:val="22"/>
          <w:szCs w:val="22"/>
          <w:rtl/>
        </w:rPr>
        <w:t xml:space="preserve">מפקד </w:t>
      </w:r>
      <w:r w:rsidR="00D31A7B">
        <w:rPr>
          <w:rFonts w:cs="FrankRuehl" w:hint="cs"/>
          <w:sz w:val="22"/>
          <w:szCs w:val="22"/>
          <w:rtl/>
        </w:rPr>
        <w:t>אזור</w:t>
      </w:r>
    </w:p>
    <w:p w14:paraId="5E27DB91" w14:textId="77777777" w:rsidR="00D31A7B" w:rsidRDefault="00D31A7B" w:rsidP="00D31A7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יהודה והשומרון</w:t>
      </w:r>
    </w:p>
    <w:p w14:paraId="3A1F240A" w14:textId="77777777" w:rsidR="00776715" w:rsidRDefault="00776715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57B66FB8" w14:textId="77777777" w:rsidR="006670ED" w:rsidRDefault="006670ED">
      <w:pPr>
        <w:pStyle w:val="sig-0"/>
        <w:ind w:left="0" w:right="1134"/>
        <w:rPr>
          <w:rFonts w:cs="FrankRuehl"/>
          <w:sz w:val="26"/>
          <w:rtl/>
        </w:rPr>
      </w:pPr>
    </w:p>
    <w:p w14:paraId="0CE8C8C1" w14:textId="77777777" w:rsidR="006670ED" w:rsidRDefault="006670ED">
      <w:pPr>
        <w:pStyle w:val="sig-0"/>
        <w:ind w:left="0" w:right="1134"/>
        <w:rPr>
          <w:rFonts w:cs="FrankRuehl"/>
          <w:sz w:val="26"/>
          <w:rtl/>
        </w:rPr>
      </w:pPr>
    </w:p>
    <w:p w14:paraId="596A3E99" w14:textId="77777777" w:rsidR="006670ED" w:rsidRDefault="006670ED" w:rsidP="006670ED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10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BF04D0C" w14:textId="77777777" w:rsidR="0068482F" w:rsidRDefault="0068482F" w:rsidP="006670ED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p w14:paraId="2CC89A8E" w14:textId="77777777" w:rsidR="0068482F" w:rsidRDefault="0068482F" w:rsidP="006670ED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p w14:paraId="26DE0138" w14:textId="77777777" w:rsidR="0068482F" w:rsidRDefault="0068482F" w:rsidP="0068482F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11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DE18DB2" w14:textId="77777777" w:rsidR="006F4B89" w:rsidRPr="0068482F" w:rsidRDefault="006F4B89" w:rsidP="0068482F">
      <w:pPr>
        <w:pStyle w:val="sig-0"/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6F4B89" w:rsidRPr="0068482F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2A181" w14:textId="77777777" w:rsidR="0040455E" w:rsidRDefault="0040455E">
      <w:r>
        <w:separator/>
      </w:r>
    </w:p>
  </w:endnote>
  <w:endnote w:type="continuationSeparator" w:id="0">
    <w:p w14:paraId="7CCBE7E0" w14:textId="77777777" w:rsidR="0040455E" w:rsidRDefault="00404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85083" w14:textId="77777777" w:rsidR="004001D2" w:rsidRDefault="004001D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8557911" w14:textId="77777777" w:rsidR="004001D2" w:rsidRDefault="004001D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2128C52" w14:textId="77777777" w:rsidR="004001D2" w:rsidRDefault="004001D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670ED">
      <w:rPr>
        <w:rFonts w:cs="TopType Jerushalmi"/>
        <w:noProof/>
        <w:color w:val="000000"/>
        <w:sz w:val="14"/>
        <w:szCs w:val="14"/>
      </w:rPr>
      <w:t>Z:\000-law\yael\2015\2015-02-23\666_059.doc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B02F1" w14:textId="77777777" w:rsidR="004001D2" w:rsidRDefault="004001D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8482F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545CC8FE" w14:textId="77777777" w:rsidR="004001D2" w:rsidRDefault="004001D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697926A" w14:textId="77777777" w:rsidR="004001D2" w:rsidRDefault="004001D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670ED">
      <w:rPr>
        <w:rFonts w:cs="TopType Jerushalmi"/>
        <w:noProof/>
        <w:color w:val="000000"/>
        <w:sz w:val="14"/>
        <w:szCs w:val="14"/>
      </w:rPr>
      <w:t>Z:\000-law\yael\2015\2015-02-23\666_059.doc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DB1E9" w14:textId="77777777" w:rsidR="0040455E" w:rsidRDefault="0040455E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64AFA861" w14:textId="77777777" w:rsidR="0040455E" w:rsidRDefault="0040455E">
      <w:r>
        <w:continuationSeparator/>
      </w:r>
    </w:p>
  </w:footnote>
  <w:footnote w:id="1">
    <w:p w14:paraId="3861FF0E" w14:textId="77777777" w:rsidR="00B10D98" w:rsidRDefault="004001D2" w:rsidP="0077671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E32A64">
          <w:rPr>
            <w:rStyle w:val="Hyperlink"/>
            <w:rFonts w:cs="FrankRuehl" w:hint="cs"/>
            <w:rtl/>
          </w:rPr>
          <w:t xml:space="preserve">קובץ המנשרים מס' </w:t>
        </w:r>
        <w:r w:rsidR="00776715">
          <w:rPr>
            <w:rStyle w:val="Hyperlink"/>
            <w:rFonts w:cs="FrankRuehl" w:hint="cs"/>
            <w:rtl/>
          </w:rPr>
          <w:t>1</w:t>
        </w:r>
        <w:r>
          <w:rPr>
            <w:rStyle w:val="Hyperlink"/>
            <w:rFonts w:cs="FrankRuehl" w:hint="cs"/>
            <w:rtl/>
          </w:rPr>
          <w:t>8</w:t>
        </w:r>
      </w:hyperlink>
      <w:r>
        <w:rPr>
          <w:rFonts w:cs="FrankRuehl" w:hint="cs"/>
          <w:rtl/>
        </w:rPr>
        <w:t xml:space="preserve"> מיום </w:t>
      </w:r>
      <w:r w:rsidR="00776715">
        <w:rPr>
          <w:rFonts w:cs="FrankRuehl" w:hint="cs"/>
          <w:rtl/>
        </w:rPr>
        <w:t>18.5.1969</w:t>
      </w:r>
      <w:r>
        <w:rPr>
          <w:rFonts w:cs="FrankRuehl" w:hint="cs"/>
          <w:rtl/>
        </w:rPr>
        <w:t xml:space="preserve"> עמ' </w:t>
      </w:r>
      <w:r w:rsidR="00776715">
        <w:rPr>
          <w:rFonts w:cs="FrankRuehl" w:hint="cs"/>
          <w:rtl/>
        </w:rPr>
        <w:t>629</w:t>
      </w:r>
      <w:r>
        <w:rPr>
          <w:rFonts w:cs="FrankRuehl" w:hint="cs"/>
          <w:rtl/>
        </w:rPr>
        <w:t>.</w:t>
      </w:r>
    </w:p>
    <w:p w14:paraId="228280B9" w14:textId="77777777" w:rsidR="004F3C99" w:rsidRDefault="00C52529" w:rsidP="004F3C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תוקן </w:t>
      </w:r>
      <w:hyperlink r:id="rId2" w:history="1">
        <w:r w:rsidR="00314EEE" w:rsidRPr="004F3C99">
          <w:rPr>
            <w:rStyle w:val="Hyperlink"/>
            <w:rFonts w:cs="FrankRuehl" w:hint="cs"/>
            <w:rtl/>
          </w:rPr>
          <w:t>קובץ המנשרים מס' 244</w:t>
        </w:r>
      </w:hyperlink>
      <w:r w:rsidR="00314EEE">
        <w:rPr>
          <w:rFonts w:cs="FrankRuehl" w:hint="cs"/>
          <w:rtl/>
        </w:rPr>
        <w:t xml:space="preserve"> מחודש אוגוסט 2016 עמ' 7454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 (מס' 1764) תשע"ו-2016; תחילתו ביום 13.1.2016 ור' סעיף 5 לענין הוראות שונות.</w:t>
      </w:r>
      <w:r w:rsidR="00413E73">
        <w:rPr>
          <w:rFonts w:cs="FrankRuehl" w:hint="cs"/>
          <w:rtl/>
        </w:rPr>
        <w:t xml:space="preserve"> כן ר' סעיפים 2, 3 שבהם נוספו סעיפים לחוק החורשות והיערות, 1927.</w:t>
      </w:r>
    </w:p>
    <w:p w14:paraId="0390FB5F" w14:textId="77777777" w:rsidR="00C52529" w:rsidRPr="00C52529" w:rsidRDefault="00C52529" w:rsidP="00C5252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40"/>
        <w:ind w:left="170" w:right="1134"/>
        <w:rPr>
          <w:rFonts w:cs="FrankRuehl" w:hint="cs"/>
          <w:rtl/>
        </w:rPr>
      </w:pPr>
      <w:r>
        <w:rPr>
          <w:rFonts w:cs="FrankRuehl" w:hint="cs"/>
          <w:rtl/>
        </w:rPr>
        <w:t>5. אין בהוראות צו זה כדי לגרוע מן האמור בצו בדבר הגנה על הטבע (יהודה והשומרון) (מס' 363), תש"ל-1969 ומקבלת כל היתר, אישור או הסכמה אחרת בהתאם לכל דין או לתחיקת הביטחון.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57545" w14:textId="77777777" w:rsidR="004001D2" w:rsidRDefault="004001D2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910A624" w14:textId="77777777" w:rsidR="004001D2" w:rsidRDefault="004001D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EC29742" w14:textId="77777777" w:rsidR="004001D2" w:rsidRDefault="004001D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C54C" w14:textId="77777777" w:rsidR="004001D2" w:rsidRDefault="004001D2" w:rsidP="0077671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בדבר </w:t>
    </w:r>
    <w:r w:rsidR="00776715">
      <w:rPr>
        <w:rFonts w:hAnsi="FrankRuehl" w:cs="FrankRuehl" w:hint="cs"/>
        <w:color w:val="000000"/>
        <w:sz w:val="28"/>
        <w:szCs w:val="28"/>
        <w:rtl/>
      </w:rPr>
      <w:t>חוקי יעור ויערות (יהודה והשומרון) (מס' 306), תשכ"ט-1969</w:t>
    </w:r>
  </w:p>
  <w:p w14:paraId="5EE5D02C" w14:textId="77777777" w:rsidR="004001D2" w:rsidRDefault="004001D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70007A" w14:textId="77777777" w:rsidR="004001D2" w:rsidRDefault="004001D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57312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0F43"/>
    <w:rsid w:val="00001C86"/>
    <w:rsid w:val="00010EFF"/>
    <w:rsid w:val="00013F71"/>
    <w:rsid w:val="00020356"/>
    <w:rsid w:val="00020B03"/>
    <w:rsid w:val="00041924"/>
    <w:rsid w:val="0004377E"/>
    <w:rsid w:val="00043FEA"/>
    <w:rsid w:val="00045240"/>
    <w:rsid w:val="000459EE"/>
    <w:rsid w:val="00061AC4"/>
    <w:rsid w:val="00063228"/>
    <w:rsid w:val="000642BB"/>
    <w:rsid w:val="00077E5B"/>
    <w:rsid w:val="00080038"/>
    <w:rsid w:val="00085208"/>
    <w:rsid w:val="0008608A"/>
    <w:rsid w:val="000900BF"/>
    <w:rsid w:val="000900F0"/>
    <w:rsid w:val="00090F84"/>
    <w:rsid w:val="00096CE6"/>
    <w:rsid w:val="000A0AC4"/>
    <w:rsid w:val="000A22B2"/>
    <w:rsid w:val="000C026B"/>
    <w:rsid w:val="000C1C89"/>
    <w:rsid w:val="000C3D23"/>
    <w:rsid w:val="000E0FAD"/>
    <w:rsid w:val="000E2FA3"/>
    <w:rsid w:val="000E7BFB"/>
    <w:rsid w:val="000F0C31"/>
    <w:rsid w:val="00104050"/>
    <w:rsid w:val="00112955"/>
    <w:rsid w:val="001243DB"/>
    <w:rsid w:val="001400F4"/>
    <w:rsid w:val="001402C1"/>
    <w:rsid w:val="00145B4F"/>
    <w:rsid w:val="001503EE"/>
    <w:rsid w:val="00154ECC"/>
    <w:rsid w:val="00166641"/>
    <w:rsid w:val="0017106F"/>
    <w:rsid w:val="001940AE"/>
    <w:rsid w:val="001A662D"/>
    <w:rsid w:val="001B1D02"/>
    <w:rsid w:val="001C18F6"/>
    <w:rsid w:val="001C35B2"/>
    <w:rsid w:val="001C4CFF"/>
    <w:rsid w:val="001D6DC7"/>
    <w:rsid w:val="001F59B3"/>
    <w:rsid w:val="00206913"/>
    <w:rsid w:val="002134B6"/>
    <w:rsid w:val="00233335"/>
    <w:rsid w:val="00237219"/>
    <w:rsid w:val="002416DF"/>
    <w:rsid w:val="00245C26"/>
    <w:rsid w:val="00252D55"/>
    <w:rsid w:val="00263D0C"/>
    <w:rsid w:val="002709CD"/>
    <w:rsid w:val="002748CB"/>
    <w:rsid w:val="0029382A"/>
    <w:rsid w:val="00294A20"/>
    <w:rsid w:val="002A1293"/>
    <w:rsid w:val="002A3236"/>
    <w:rsid w:val="002A3AE1"/>
    <w:rsid w:val="002B02AE"/>
    <w:rsid w:val="002B4BCC"/>
    <w:rsid w:val="002C0168"/>
    <w:rsid w:val="002C3DB1"/>
    <w:rsid w:val="002C6697"/>
    <w:rsid w:val="002E465B"/>
    <w:rsid w:val="002E4F84"/>
    <w:rsid w:val="002F274E"/>
    <w:rsid w:val="00302A14"/>
    <w:rsid w:val="00307106"/>
    <w:rsid w:val="00314365"/>
    <w:rsid w:val="00314A1B"/>
    <w:rsid w:val="00314EEE"/>
    <w:rsid w:val="00315FE5"/>
    <w:rsid w:val="003254B8"/>
    <w:rsid w:val="0033203E"/>
    <w:rsid w:val="003360AE"/>
    <w:rsid w:val="0033682D"/>
    <w:rsid w:val="00354F82"/>
    <w:rsid w:val="00356180"/>
    <w:rsid w:val="00360157"/>
    <w:rsid w:val="00361CC2"/>
    <w:rsid w:val="00374E4D"/>
    <w:rsid w:val="00385B85"/>
    <w:rsid w:val="003919FD"/>
    <w:rsid w:val="003B6CCE"/>
    <w:rsid w:val="003C113E"/>
    <w:rsid w:val="003D0B27"/>
    <w:rsid w:val="003D6E5B"/>
    <w:rsid w:val="003E3B8E"/>
    <w:rsid w:val="004001D2"/>
    <w:rsid w:val="0040455E"/>
    <w:rsid w:val="00413E73"/>
    <w:rsid w:val="004151E8"/>
    <w:rsid w:val="004159A6"/>
    <w:rsid w:val="004163E5"/>
    <w:rsid w:val="00422099"/>
    <w:rsid w:val="004225E1"/>
    <w:rsid w:val="004237AE"/>
    <w:rsid w:val="00425976"/>
    <w:rsid w:val="004340A6"/>
    <w:rsid w:val="00437A42"/>
    <w:rsid w:val="00457C10"/>
    <w:rsid w:val="00464F91"/>
    <w:rsid w:val="00475737"/>
    <w:rsid w:val="00486BF5"/>
    <w:rsid w:val="00495F5E"/>
    <w:rsid w:val="004A1312"/>
    <w:rsid w:val="004A5E3A"/>
    <w:rsid w:val="004C187A"/>
    <w:rsid w:val="004D3059"/>
    <w:rsid w:val="004D39D8"/>
    <w:rsid w:val="004D6559"/>
    <w:rsid w:val="004E3579"/>
    <w:rsid w:val="004E73F9"/>
    <w:rsid w:val="004F3C99"/>
    <w:rsid w:val="004F74B1"/>
    <w:rsid w:val="005007C4"/>
    <w:rsid w:val="00500AC6"/>
    <w:rsid w:val="0050542D"/>
    <w:rsid w:val="00522621"/>
    <w:rsid w:val="005244BD"/>
    <w:rsid w:val="00525EE0"/>
    <w:rsid w:val="00536F21"/>
    <w:rsid w:val="005405C4"/>
    <w:rsid w:val="0055334C"/>
    <w:rsid w:val="0056299E"/>
    <w:rsid w:val="00567A5F"/>
    <w:rsid w:val="00585FBA"/>
    <w:rsid w:val="005873A7"/>
    <w:rsid w:val="00590F2A"/>
    <w:rsid w:val="00592AB5"/>
    <w:rsid w:val="005A239F"/>
    <w:rsid w:val="005B4EE1"/>
    <w:rsid w:val="005C199B"/>
    <w:rsid w:val="005C23CD"/>
    <w:rsid w:val="005D6F8B"/>
    <w:rsid w:val="005E24AF"/>
    <w:rsid w:val="005E3A7A"/>
    <w:rsid w:val="005E6CC2"/>
    <w:rsid w:val="005F4EC8"/>
    <w:rsid w:val="005F6DFC"/>
    <w:rsid w:val="00605D2D"/>
    <w:rsid w:val="00610745"/>
    <w:rsid w:val="00615F45"/>
    <w:rsid w:val="00620D31"/>
    <w:rsid w:val="00623B3D"/>
    <w:rsid w:val="006300F2"/>
    <w:rsid w:val="006410C4"/>
    <w:rsid w:val="00657A3C"/>
    <w:rsid w:val="006670ED"/>
    <w:rsid w:val="0068482F"/>
    <w:rsid w:val="006861E7"/>
    <w:rsid w:val="00686E66"/>
    <w:rsid w:val="0069076C"/>
    <w:rsid w:val="006A3983"/>
    <w:rsid w:val="006A6F7B"/>
    <w:rsid w:val="006C4092"/>
    <w:rsid w:val="006C6CCC"/>
    <w:rsid w:val="006E0323"/>
    <w:rsid w:val="006F436B"/>
    <w:rsid w:val="006F4817"/>
    <w:rsid w:val="006F4B89"/>
    <w:rsid w:val="007078DC"/>
    <w:rsid w:val="00714E84"/>
    <w:rsid w:val="00721820"/>
    <w:rsid w:val="00724833"/>
    <w:rsid w:val="0073631C"/>
    <w:rsid w:val="007454F1"/>
    <w:rsid w:val="00753D42"/>
    <w:rsid w:val="007541BB"/>
    <w:rsid w:val="0077635A"/>
    <w:rsid w:val="00776715"/>
    <w:rsid w:val="00786764"/>
    <w:rsid w:val="0079141B"/>
    <w:rsid w:val="007938EC"/>
    <w:rsid w:val="007A1B55"/>
    <w:rsid w:val="007A2EB5"/>
    <w:rsid w:val="007A77F6"/>
    <w:rsid w:val="007B25F0"/>
    <w:rsid w:val="007B43C3"/>
    <w:rsid w:val="007F4164"/>
    <w:rsid w:val="007F67C6"/>
    <w:rsid w:val="00800D8C"/>
    <w:rsid w:val="008025D3"/>
    <w:rsid w:val="00807158"/>
    <w:rsid w:val="0081644B"/>
    <w:rsid w:val="0083375A"/>
    <w:rsid w:val="00845135"/>
    <w:rsid w:val="00850C1D"/>
    <w:rsid w:val="00851E27"/>
    <w:rsid w:val="008602F7"/>
    <w:rsid w:val="00874E50"/>
    <w:rsid w:val="00877473"/>
    <w:rsid w:val="008A2DE8"/>
    <w:rsid w:val="008B454A"/>
    <w:rsid w:val="008B7C95"/>
    <w:rsid w:val="008D1E61"/>
    <w:rsid w:val="008D35C3"/>
    <w:rsid w:val="008E6459"/>
    <w:rsid w:val="008F0438"/>
    <w:rsid w:val="008F3143"/>
    <w:rsid w:val="00912122"/>
    <w:rsid w:val="00915247"/>
    <w:rsid w:val="0091629A"/>
    <w:rsid w:val="00925FB2"/>
    <w:rsid w:val="0092680A"/>
    <w:rsid w:val="009406B9"/>
    <w:rsid w:val="009445EF"/>
    <w:rsid w:val="00950001"/>
    <w:rsid w:val="00961FAD"/>
    <w:rsid w:val="0096239F"/>
    <w:rsid w:val="00970F43"/>
    <w:rsid w:val="0097505D"/>
    <w:rsid w:val="00975C64"/>
    <w:rsid w:val="00983C74"/>
    <w:rsid w:val="00984264"/>
    <w:rsid w:val="009849B7"/>
    <w:rsid w:val="00990C80"/>
    <w:rsid w:val="00991650"/>
    <w:rsid w:val="00994909"/>
    <w:rsid w:val="009969BA"/>
    <w:rsid w:val="009A69A4"/>
    <w:rsid w:val="009B1729"/>
    <w:rsid w:val="009B5706"/>
    <w:rsid w:val="009E3552"/>
    <w:rsid w:val="009F34B1"/>
    <w:rsid w:val="00A01F3C"/>
    <w:rsid w:val="00A14BE1"/>
    <w:rsid w:val="00A25D1A"/>
    <w:rsid w:val="00A3025A"/>
    <w:rsid w:val="00A35E4E"/>
    <w:rsid w:val="00A42C9F"/>
    <w:rsid w:val="00A54A9E"/>
    <w:rsid w:val="00A5601F"/>
    <w:rsid w:val="00A575F1"/>
    <w:rsid w:val="00A600D0"/>
    <w:rsid w:val="00A60838"/>
    <w:rsid w:val="00A617EE"/>
    <w:rsid w:val="00A63333"/>
    <w:rsid w:val="00A875DD"/>
    <w:rsid w:val="00A943EC"/>
    <w:rsid w:val="00A94E01"/>
    <w:rsid w:val="00A94FAB"/>
    <w:rsid w:val="00A97D82"/>
    <w:rsid w:val="00AD0158"/>
    <w:rsid w:val="00AF416A"/>
    <w:rsid w:val="00AF6FE4"/>
    <w:rsid w:val="00AF7691"/>
    <w:rsid w:val="00B10D98"/>
    <w:rsid w:val="00B13088"/>
    <w:rsid w:val="00B25766"/>
    <w:rsid w:val="00B27E01"/>
    <w:rsid w:val="00B42D3B"/>
    <w:rsid w:val="00B52E41"/>
    <w:rsid w:val="00B569AC"/>
    <w:rsid w:val="00B85F24"/>
    <w:rsid w:val="00B87CC9"/>
    <w:rsid w:val="00B92FEE"/>
    <w:rsid w:val="00B93E04"/>
    <w:rsid w:val="00BA0866"/>
    <w:rsid w:val="00BA1F0B"/>
    <w:rsid w:val="00BA5152"/>
    <w:rsid w:val="00BA7D11"/>
    <w:rsid w:val="00BB08BB"/>
    <w:rsid w:val="00BB1463"/>
    <w:rsid w:val="00BE25A0"/>
    <w:rsid w:val="00BE3E83"/>
    <w:rsid w:val="00BF1A4B"/>
    <w:rsid w:val="00C14165"/>
    <w:rsid w:val="00C22A10"/>
    <w:rsid w:val="00C363C2"/>
    <w:rsid w:val="00C3742A"/>
    <w:rsid w:val="00C43DC5"/>
    <w:rsid w:val="00C4523C"/>
    <w:rsid w:val="00C52529"/>
    <w:rsid w:val="00C67026"/>
    <w:rsid w:val="00C67A8F"/>
    <w:rsid w:val="00C73BDE"/>
    <w:rsid w:val="00C8408F"/>
    <w:rsid w:val="00C85928"/>
    <w:rsid w:val="00C96A3A"/>
    <w:rsid w:val="00CA2C24"/>
    <w:rsid w:val="00CA40EA"/>
    <w:rsid w:val="00CD30AB"/>
    <w:rsid w:val="00CE330A"/>
    <w:rsid w:val="00D049DA"/>
    <w:rsid w:val="00D06AF6"/>
    <w:rsid w:val="00D15B01"/>
    <w:rsid w:val="00D168BD"/>
    <w:rsid w:val="00D1758C"/>
    <w:rsid w:val="00D233A3"/>
    <w:rsid w:val="00D249BB"/>
    <w:rsid w:val="00D26A40"/>
    <w:rsid w:val="00D27C31"/>
    <w:rsid w:val="00D31A7B"/>
    <w:rsid w:val="00D35D01"/>
    <w:rsid w:val="00D37B0E"/>
    <w:rsid w:val="00D441A3"/>
    <w:rsid w:val="00D544C6"/>
    <w:rsid w:val="00D615C5"/>
    <w:rsid w:val="00D62196"/>
    <w:rsid w:val="00D67CE4"/>
    <w:rsid w:val="00D731C3"/>
    <w:rsid w:val="00D8000E"/>
    <w:rsid w:val="00D83009"/>
    <w:rsid w:val="00D83289"/>
    <w:rsid w:val="00D85B2D"/>
    <w:rsid w:val="00D9486D"/>
    <w:rsid w:val="00DB05B0"/>
    <w:rsid w:val="00DB1C9D"/>
    <w:rsid w:val="00DB3D30"/>
    <w:rsid w:val="00DC5913"/>
    <w:rsid w:val="00DD7501"/>
    <w:rsid w:val="00DE3B99"/>
    <w:rsid w:val="00DF4FDF"/>
    <w:rsid w:val="00DF5A69"/>
    <w:rsid w:val="00DF6042"/>
    <w:rsid w:val="00E04CAA"/>
    <w:rsid w:val="00E06F7F"/>
    <w:rsid w:val="00E14277"/>
    <w:rsid w:val="00E20BE1"/>
    <w:rsid w:val="00E32A64"/>
    <w:rsid w:val="00E3363D"/>
    <w:rsid w:val="00E4757E"/>
    <w:rsid w:val="00E52DA1"/>
    <w:rsid w:val="00E56DC8"/>
    <w:rsid w:val="00E57FE7"/>
    <w:rsid w:val="00E70239"/>
    <w:rsid w:val="00E74C3C"/>
    <w:rsid w:val="00E8422E"/>
    <w:rsid w:val="00E91813"/>
    <w:rsid w:val="00E93D01"/>
    <w:rsid w:val="00E950DC"/>
    <w:rsid w:val="00E96ADB"/>
    <w:rsid w:val="00E97309"/>
    <w:rsid w:val="00EB31C9"/>
    <w:rsid w:val="00EC1AE5"/>
    <w:rsid w:val="00EC3AA4"/>
    <w:rsid w:val="00EC5CB7"/>
    <w:rsid w:val="00ED0B42"/>
    <w:rsid w:val="00ED754F"/>
    <w:rsid w:val="00EE0605"/>
    <w:rsid w:val="00EE328D"/>
    <w:rsid w:val="00EE3CEE"/>
    <w:rsid w:val="00EF590E"/>
    <w:rsid w:val="00EF5FD3"/>
    <w:rsid w:val="00F00F48"/>
    <w:rsid w:val="00F03AB7"/>
    <w:rsid w:val="00F144AC"/>
    <w:rsid w:val="00F252A6"/>
    <w:rsid w:val="00F352DA"/>
    <w:rsid w:val="00F3673C"/>
    <w:rsid w:val="00F4476D"/>
    <w:rsid w:val="00F50A08"/>
    <w:rsid w:val="00F50A0E"/>
    <w:rsid w:val="00F639D6"/>
    <w:rsid w:val="00F73367"/>
    <w:rsid w:val="00F85063"/>
    <w:rsid w:val="00F9325B"/>
    <w:rsid w:val="00F97544"/>
    <w:rsid w:val="00FA2AE8"/>
    <w:rsid w:val="00FA2F22"/>
    <w:rsid w:val="00FA3978"/>
    <w:rsid w:val="00FA78B2"/>
    <w:rsid w:val="00FB078F"/>
    <w:rsid w:val="00FB0ADF"/>
    <w:rsid w:val="00FC1058"/>
    <w:rsid w:val="00FC41C3"/>
    <w:rsid w:val="00FD2DD4"/>
    <w:rsid w:val="00FD669C"/>
    <w:rsid w:val="00FE0FC9"/>
    <w:rsid w:val="00FE60D4"/>
    <w:rsid w:val="00FE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0D7C55F"/>
  <w15:chartTrackingRefBased/>
  <w15:docId w15:val="{375D0C8D-F16D-452B-93D2-4B877322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table" w:styleId="a8">
    <w:name w:val="Table Grid"/>
    <w:basedOn w:val="a1"/>
    <w:rsid w:val="00DB1C9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314E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70/zava-0244.pdf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70/zava-0244.pdf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advertisements/nevo-100.doc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advertisements/nevo-100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70/zava-0244.pdf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70/zava-0244.pdf" TargetMode="External"/><Relationship Id="rId1" Type="http://schemas.openxmlformats.org/officeDocument/2006/relationships/hyperlink" Target="http://www.nevo.co.il/Law_word/law70/zava-001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3123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3663</CharactersWithSpaces>
  <SharedDoc>false</SharedDoc>
  <HLinks>
    <vt:vector size="90" baseType="variant">
      <vt:variant>
        <vt:i4>393283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1769597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http://www.nevo.co.il/Law_word/law70/zava-0244.pdf</vt:lpwstr>
      </vt:variant>
      <vt:variant>
        <vt:lpwstr/>
      </vt:variant>
      <vt:variant>
        <vt:i4>1769597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http://www.nevo.co.il/Law_word/law70/zava-0244.pdf</vt:lpwstr>
      </vt:variant>
      <vt:variant>
        <vt:lpwstr/>
      </vt:variant>
      <vt:variant>
        <vt:i4>1769597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http://www.nevo.co.il/Law_word/law70/zava-0244.pdf</vt:lpwstr>
      </vt:variant>
      <vt:variant>
        <vt:lpwstr/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1769597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http://www.nevo.co.il/Law_word/law70/zava-0244.pdf</vt:lpwstr>
      </vt:variant>
      <vt:variant>
        <vt:lpwstr/>
      </vt:variant>
      <vt:variant>
        <vt:i4>1376376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http://www.nevo.co.il/Law_word/law70/zava-0018.pdf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run</dc:creator>
  <cp:keywords/>
  <dc:description/>
  <cp:lastModifiedBy>Shimon Doodkin</cp:lastModifiedBy>
  <cp:revision>2</cp:revision>
  <dcterms:created xsi:type="dcterms:W3CDTF">2023-06-28T21:34:00Z</dcterms:created>
  <dcterms:modified xsi:type="dcterms:W3CDTF">2023-06-28T21:34:00Z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0666</vt:lpwstr>
  </property>
  <property fmtid="{D5CDD505-2E9C-101B-9397-08002B2CF9AE}" pid="3" name="LAWNAME">
    <vt:lpwstr>צו בדבר חוקי יעור ויערות (יהודה והשומרון) (מס' 306), תשכ"ט-1969</vt:lpwstr>
  </property>
  <property fmtid="{D5CDD505-2E9C-101B-9397-08002B2CF9AE}" pid="4" name="LAWNUMBER">
    <vt:lpwstr>0059</vt:lpwstr>
  </property>
  <property fmtid="{D5CDD505-2E9C-101B-9397-08002B2CF9AE}" pid="5" name="TYPE">
    <vt:lpwstr>65</vt:lpwstr>
  </property>
  <property fmtid="{D5CDD505-2E9C-101B-9397-08002B2CF9AE}" pid="6" name="CHNAME">
    <vt:lpwstr>יהודה והשומרון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LINKK1">
    <vt:lpwstr>ww.nevo.co.il/Law_word/law70/zava-0244.pdf;קמצ"מ#תוקן קובץ המנשרים מס' 244 #מחודש אוגוסט 2016 עמ' 7454 – תיקון מס' 1 (מס' 1764) תשע"ו-2016; תחילתו ביום 13.1.2016 ור' סעיף 5 לענין הוראות שונות. כן ר' סעיפים 2, 3 שבהם נוספו סעיפים לחוק החורשות והיערות, 1927</vt:lpwstr>
  </property>
</Properties>
</file>