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73C" w:rsidRDefault="0012073C">
      <w:pPr>
        <w:pStyle w:val="big-header"/>
        <w:ind w:left="0" w:right="1134"/>
        <w:rPr>
          <w:rFonts w:cs="FrankRuehl" w:hint="cs"/>
          <w:sz w:val="32"/>
          <w:rtl/>
        </w:rPr>
      </w:pPr>
      <w:r>
        <w:rPr>
          <w:rFonts w:cs="FrankRuehl" w:hint="cs"/>
          <w:sz w:val="32"/>
          <w:rtl/>
        </w:rPr>
        <w:t>יהודה והשומרון</w:t>
      </w:r>
    </w:p>
    <w:p w:rsidR="0012073C" w:rsidRDefault="0012073C" w:rsidP="00712470">
      <w:pPr>
        <w:pStyle w:val="big-header"/>
        <w:ind w:left="0" w:right="1134"/>
        <w:rPr>
          <w:rFonts w:cs="FrankRuehl" w:hint="cs"/>
          <w:sz w:val="32"/>
          <w:rtl/>
        </w:rPr>
      </w:pPr>
      <w:r>
        <w:rPr>
          <w:rFonts w:cs="FrankRuehl" w:hint="cs"/>
          <w:sz w:val="32"/>
          <w:rtl/>
        </w:rPr>
        <w:t xml:space="preserve">צו בדבר </w:t>
      </w:r>
      <w:r w:rsidR="00712470">
        <w:rPr>
          <w:rFonts w:cs="FrankRuehl" w:hint="cs"/>
          <w:sz w:val="32"/>
          <w:rtl/>
        </w:rPr>
        <w:t>מניעת הסתננות (יהודה והשומרון</w:t>
      </w:r>
      <w:r w:rsidR="00ED6467">
        <w:rPr>
          <w:rFonts w:cs="FrankRuehl" w:hint="cs"/>
          <w:sz w:val="32"/>
          <w:rtl/>
        </w:rPr>
        <w:t xml:space="preserve">) (מס' </w:t>
      </w:r>
      <w:r w:rsidR="00712470">
        <w:rPr>
          <w:rFonts w:cs="FrankRuehl" w:hint="cs"/>
          <w:sz w:val="32"/>
          <w:rtl/>
        </w:rPr>
        <w:t>329</w:t>
      </w:r>
      <w:r w:rsidR="00812097">
        <w:rPr>
          <w:rFonts w:cs="FrankRuehl" w:hint="cs"/>
          <w:sz w:val="32"/>
          <w:rtl/>
        </w:rPr>
        <w:t>), תשכ"</w:t>
      </w:r>
      <w:r w:rsidR="00712470">
        <w:rPr>
          <w:rFonts w:cs="FrankRuehl" w:hint="cs"/>
          <w:sz w:val="32"/>
          <w:rtl/>
        </w:rPr>
        <w:t>ט-1969</w:t>
      </w:r>
    </w:p>
    <w:p w:rsidR="00B61A5F" w:rsidRDefault="00B61A5F">
      <w:pPr>
        <w:pStyle w:val="big-header"/>
        <w:ind w:left="0" w:right="1134"/>
        <w:rPr>
          <w:rFonts w:cs="FrankRuehl" w:hint="cs"/>
          <w:sz w:val="32"/>
          <w:rtl/>
        </w:rPr>
      </w:pPr>
    </w:p>
    <w:p w:rsidR="0012073C" w:rsidRDefault="0012073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1 </w:t>
            </w:r>
          </w:p>
        </w:tc>
        <w:tc>
          <w:tcPr>
            <w:tcW w:w="5669" w:type="dxa"/>
          </w:tcPr>
          <w:p w:rsidR="00D827DB" w:rsidRPr="00D827DB" w:rsidRDefault="00D827DB" w:rsidP="00D827DB">
            <w:pPr>
              <w:rPr>
                <w:rFonts w:cs="Frankruhel" w:hint="cs"/>
                <w:rtl/>
              </w:rPr>
            </w:pPr>
            <w:r>
              <w:rPr>
                <w:rtl/>
              </w:rPr>
              <w:t>הגדרות</w:t>
            </w:r>
          </w:p>
        </w:tc>
        <w:tc>
          <w:tcPr>
            <w:tcW w:w="567" w:type="dxa"/>
          </w:tcPr>
          <w:p w:rsidR="00D827DB" w:rsidRPr="00D827DB" w:rsidRDefault="00D827DB" w:rsidP="00D827DB">
            <w:pPr>
              <w:rPr>
                <w:rStyle w:val="Hyperlink"/>
                <w:rFonts w:hint="cs"/>
                <w:rtl/>
              </w:rPr>
            </w:pPr>
            <w:hyperlink w:anchor="Seif1" w:tooltip="הגדרות"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2 </w:t>
            </w:r>
          </w:p>
        </w:tc>
        <w:tc>
          <w:tcPr>
            <w:tcW w:w="5669" w:type="dxa"/>
          </w:tcPr>
          <w:p w:rsidR="00D827DB" w:rsidRPr="00D827DB" w:rsidRDefault="00D827DB" w:rsidP="00D827DB">
            <w:pPr>
              <w:rPr>
                <w:rFonts w:cs="Frankruhel" w:hint="cs"/>
                <w:rtl/>
              </w:rPr>
            </w:pPr>
            <w:r>
              <w:rPr>
                <w:rtl/>
              </w:rPr>
              <w:t>דין מסתנן</w:t>
            </w:r>
          </w:p>
        </w:tc>
        <w:tc>
          <w:tcPr>
            <w:tcW w:w="567" w:type="dxa"/>
          </w:tcPr>
          <w:p w:rsidR="00D827DB" w:rsidRPr="00D827DB" w:rsidRDefault="00D827DB" w:rsidP="00D827DB">
            <w:pPr>
              <w:rPr>
                <w:rStyle w:val="Hyperlink"/>
                <w:rFonts w:hint="cs"/>
                <w:rtl/>
              </w:rPr>
            </w:pPr>
            <w:hyperlink w:anchor="Seif2" w:tooltip="דין מסתנן"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3 </w:t>
            </w:r>
          </w:p>
        </w:tc>
        <w:tc>
          <w:tcPr>
            <w:tcW w:w="5669" w:type="dxa"/>
          </w:tcPr>
          <w:p w:rsidR="00D827DB" w:rsidRPr="00D827DB" w:rsidRDefault="00D827DB" w:rsidP="00D827DB">
            <w:pPr>
              <w:rPr>
                <w:rFonts w:cs="Frankruhel" w:hint="cs"/>
                <w:rtl/>
              </w:rPr>
            </w:pPr>
            <w:r>
              <w:rPr>
                <w:rtl/>
              </w:rPr>
              <w:t>גירוש</w:t>
            </w:r>
          </w:p>
        </w:tc>
        <w:tc>
          <w:tcPr>
            <w:tcW w:w="567" w:type="dxa"/>
          </w:tcPr>
          <w:p w:rsidR="00D827DB" w:rsidRPr="00D827DB" w:rsidRDefault="00D827DB" w:rsidP="00D827DB">
            <w:pPr>
              <w:rPr>
                <w:rStyle w:val="Hyperlink"/>
                <w:rFonts w:hint="cs"/>
                <w:rtl/>
              </w:rPr>
            </w:pPr>
            <w:hyperlink w:anchor="Seif3" w:tooltip="גירוש"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4 </w:t>
            </w:r>
          </w:p>
        </w:tc>
        <w:tc>
          <w:tcPr>
            <w:tcW w:w="5669" w:type="dxa"/>
          </w:tcPr>
          <w:p w:rsidR="00D827DB" w:rsidRPr="00D827DB" w:rsidRDefault="00D827DB" w:rsidP="00D827DB">
            <w:pPr>
              <w:rPr>
                <w:rFonts w:cs="Frankruhel" w:hint="cs"/>
                <w:rtl/>
              </w:rPr>
            </w:pPr>
            <w:r>
              <w:rPr>
                <w:rtl/>
              </w:rPr>
              <w:t>דין מסתנן מזויין</w:t>
            </w:r>
          </w:p>
        </w:tc>
        <w:tc>
          <w:tcPr>
            <w:tcW w:w="567" w:type="dxa"/>
          </w:tcPr>
          <w:p w:rsidR="00D827DB" w:rsidRPr="00D827DB" w:rsidRDefault="00D827DB" w:rsidP="00D827DB">
            <w:pPr>
              <w:rPr>
                <w:rStyle w:val="Hyperlink"/>
                <w:rFonts w:hint="cs"/>
                <w:rtl/>
              </w:rPr>
            </w:pPr>
            <w:hyperlink w:anchor="Seif4" w:tooltip="דין מסתנן מזויין"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5 </w:t>
            </w:r>
          </w:p>
        </w:tc>
        <w:tc>
          <w:tcPr>
            <w:tcW w:w="5669" w:type="dxa"/>
          </w:tcPr>
          <w:p w:rsidR="00D827DB" w:rsidRPr="00D827DB" w:rsidRDefault="00D827DB" w:rsidP="00D827DB">
            <w:pPr>
              <w:rPr>
                <w:rFonts w:cs="Frankruhel" w:hint="cs"/>
                <w:rtl/>
              </w:rPr>
            </w:pPr>
            <w:r>
              <w:rPr>
                <w:rtl/>
              </w:rPr>
              <w:t>ראיות</w:t>
            </w:r>
          </w:p>
        </w:tc>
        <w:tc>
          <w:tcPr>
            <w:tcW w:w="567" w:type="dxa"/>
          </w:tcPr>
          <w:p w:rsidR="00D827DB" w:rsidRPr="00D827DB" w:rsidRDefault="00D827DB" w:rsidP="00D827DB">
            <w:pPr>
              <w:rPr>
                <w:rStyle w:val="Hyperlink"/>
                <w:rFonts w:hint="cs"/>
                <w:rtl/>
              </w:rPr>
            </w:pPr>
            <w:hyperlink w:anchor="Seif5" w:tooltip="ראיות"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6 </w:t>
            </w:r>
          </w:p>
        </w:tc>
        <w:tc>
          <w:tcPr>
            <w:tcW w:w="5669" w:type="dxa"/>
          </w:tcPr>
          <w:p w:rsidR="00D827DB" w:rsidRPr="00D827DB" w:rsidRDefault="00D827DB" w:rsidP="00D827DB">
            <w:pPr>
              <w:rPr>
                <w:rFonts w:cs="Frankruhel" w:hint="cs"/>
                <w:rtl/>
              </w:rPr>
            </w:pPr>
            <w:r>
              <w:rPr>
                <w:rtl/>
              </w:rPr>
              <w:t>הוצאות ביצוע צו גירוש</w:t>
            </w:r>
          </w:p>
        </w:tc>
        <w:tc>
          <w:tcPr>
            <w:tcW w:w="567" w:type="dxa"/>
          </w:tcPr>
          <w:p w:rsidR="00D827DB" w:rsidRPr="00D827DB" w:rsidRDefault="00D827DB" w:rsidP="00D827DB">
            <w:pPr>
              <w:rPr>
                <w:rStyle w:val="Hyperlink"/>
                <w:rFonts w:hint="cs"/>
                <w:rtl/>
              </w:rPr>
            </w:pPr>
            <w:hyperlink w:anchor="Seif6" w:tooltip="הוצאות ביצוע צו גירוש"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6א </w:t>
            </w:r>
          </w:p>
        </w:tc>
        <w:tc>
          <w:tcPr>
            <w:tcW w:w="5669" w:type="dxa"/>
          </w:tcPr>
          <w:p w:rsidR="00D827DB" w:rsidRPr="00D827DB" w:rsidRDefault="00D827DB" w:rsidP="00D827DB">
            <w:pPr>
              <w:rPr>
                <w:rFonts w:cs="Frankruhel" w:hint="cs"/>
                <w:rtl/>
              </w:rPr>
            </w:pPr>
            <w:r>
              <w:rPr>
                <w:rtl/>
              </w:rPr>
              <w:t>שחרור בערבות</w:t>
            </w:r>
          </w:p>
        </w:tc>
        <w:tc>
          <w:tcPr>
            <w:tcW w:w="567" w:type="dxa"/>
          </w:tcPr>
          <w:p w:rsidR="00D827DB" w:rsidRPr="00D827DB" w:rsidRDefault="00D827DB" w:rsidP="00D827DB">
            <w:pPr>
              <w:rPr>
                <w:rStyle w:val="Hyperlink"/>
                <w:rFonts w:hint="cs"/>
                <w:rtl/>
              </w:rPr>
            </w:pPr>
            <w:hyperlink w:anchor="Seif10" w:tooltip="שחרור בערבות"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8 </w:t>
            </w:r>
          </w:p>
        </w:tc>
        <w:tc>
          <w:tcPr>
            <w:tcW w:w="5669" w:type="dxa"/>
          </w:tcPr>
          <w:p w:rsidR="00D827DB" w:rsidRPr="00D827DB" w:rsidRDefault="00D827DB" w:rsidP="00D827DB">
            <w:pPr>
              <w:rPr>
                <w:rFonts w:cs="Frankruhel" w:hint="cs"/>
                <w:rtl/>
              </w:rPr>
            </w:pPr>
            <w:r>
              <w:rPr>
                <w:rtl/>
              </w:rPr>
              <w:t>ביטול</w:t>
            </w:r>
          </w:p>
        </w:tc>
        <w:tc>
          <w:tcPr>
            <w:tcW w:w="567" w:type="dxa"/>
          </w:tcPr>
          <w:p w:rsidR="00D827DB" w:rsidRPr="00D827DB" w:rsidRDefault="00D827DB" w:rsidP="00D827DB">
            <w:pPr>
              <w:rPr>
                <w:rStyle w:val="Hyperlink"/>
                <w:rFonts w:hint="cs"/>
                <w:rtl/>
              </w:rPr>
            </w:pPr>
            <w:hyperlink w:anchor="Seif7" w:tooltip="ביטול"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9 </w:t>
            </w:r>
          </w:p>
        </w:tc>
        <w:tc>
          <w:tcPr>
            <w:tcW w:w="5669" w:type="dxa"/>
          </w:tcPr>
          <w:p w:rsidR="00D827DB" w:rsidRPr="00D827DB" w:rsidRDefault="00D827DB" w:rsidP="00D827DB">
            <w:pPr>
              <w:rPr>
                <w:rFonts w:cs="Frankruhel" w:hint="cs"/>
                <w:rtl/>
              </w:rPr>
            </w:pPr>
            <w:r>
              <w:rPr>
                <w:rtl/>
              </w:rPr>
              <w:t>תחילת תוקף</w:t>
            </w:r>
          </w:p>
        </w:tc>
        <w:tc>
          <w:tcPr>
            <w:tcW w:w="567" w:type="dxa"/>
          </w:tcPr>
          <w:p w:rsidR="00D827DB" w:rsidRPr="00D827DB" w:rsidRDefault="00D827DB" w:rsidP="00D827DB">
            <w:pPr>
              <w:rPr>
                <w:rStyle w:val="Hyperlink"/>
                <w:rFonts w:hint="cs"/>
                <w:rtl/>
              </w:rPr>
            </w:pPr>
            <w:hyperlink w:anchor="Seif8" w:tooltip="תחילת תוקף"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827DB" w:rsidRPr="00D827DB" w:rsidTr="00D827DB">
        <w:tblPrEx>
          <w:tblCellMar>
            <w:top w:w="0" w:type="dxa"/>
            <w:bottom w:w="0" w:type="dxa"/>
          </w:tblCellMar>
        </w:tblPrEx>
        <w:tc>
          <w:tcPr>
            <w:tcW w:w="1247" w:type="dxa"/>
          </w:tcPr>
          <w:p w:rsidR="00D827DB" w:rsidRPr="00D827DB" w:rsidRDefault="00D827DB" w:rsidP="00D827DB">
            <w:pPr>
              <w:rPr>
                <w:rFonts w:cs="Frankruhel" w:hint="cs"/>
                <w:rtl/>
              </w:rPr>
            </w:pPr>
            <w:r>
              <w:rPr>
                <w:rtl/>
              </w:rPr>
              <w:t xml:space="preserve">סעיף 10 </w:t>
            </w:r>
          </w:p>
        </w:tc>
        <w:tc>
          <w:tcPr>
            <w:tcW w:w="5669" w:type="dxa"/>
          </w:tcPr>
          <w:p w:rsidR="00D827DB" w:rsidRPr="00D827DB" w:rsidRDefault="00D827DB" w:rsidP="00D827DB">
            <w:pPr>
              <w:rPr>
                <w:rFonts w:cs="Frankruhel" w:hint="cs"/>
                <w:rtl/>
              </w:rPr>
            </w:pPr>
            <w:r>
              <w:rPr>
                <w:rtl/>
              </w:rPr>
              <w:t>השם</w:t>
            </w:r>
          </w:p>
        </w:tc>
        <w:tc>
          <w:tcPr>
            <w:tcW w:w="567" w:type="dxa"/>
          </w:tcPr>
          <w:p w:rsidR="00D827DB" w:rsidRPr="00D827DB" w:rsidRDefault="00D827DB" w:rsidP="00D827DB">
            <w:pPr>
              <w:rPr>
                <w:rStyle w:val="Hyperlink"/>
                <w:rFonts w:hint="cs"/>
                <w:rtl/>
              </w:rPr>
            </w:pPr>
            <w:hyperlink w:anchor="Seif9" w:tooltip="השם" w:history="1">
              <w:r w:rsidRPr="00D827DB">
                <w:rPr>
                  <w:rStyle w:val="Hyperlink"/>
                </w:rPr>
                <w:t>Go</w:t>
              </w:r>
            </w:hyperlink>
          </w:p>
        </w:tc>
        <w:tc>
          <w:tcPr>
            <w:tcW w:w="850" w:type="dxa"/>
          </w:tcPr>
          <w:p w:rsidR="00D827DB" w:rsidRPr="00D827DB" w:rsidRDefault="00D827DB" w:rsidP="00D827D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rsidR="0012073C" w:rsidRDefault="0012073C">
      <w:pPr>
        <w:pStyle w:val="big-header"/>
        <w:ind w:left="0" w:right="1134"/>
        <w:rPr>
          <w:rFonts w:cs="FrankRuehl" w:hint="cs"/>
          <w:sz w:val="32"/>
          <w:rtl/>
        </w:rPr>
      </w:pPr>
    </w:p>
    <w:p w:rsidR="00712470" w:rsidRDefault="0012073C" w:rsidP="00712470">
      <w:pPr>
        <w:pStyle w:val="big-header"/>
        <w:ind w:left="0" w:right="1134"/>
        <w:rPr>
          <w:rFonts w:cs="FrankRuehl" w:hint="cs"/>
          <w:sz w:val="32"/>
          <w:rtl/>
        </w:rPr>
      </w:pPr>
      <w:r>
        <w:rPr>
          <w:rFonts w:cs="FrankRuehl"/>
          <w:sz w:val="32"/>
          <w:rtl/>
        </w:rPr>
        <w:br w:type="page"/>
      </w:r>
      <w:r w:rsidR="00712470">
        <w:rPr>
          <w:rFonts w:cs="FrankRuehl" w:hint="cs"/>
          <w:sz w:val="32"/>
          <w:rtl/>
        </w:rPr>
        <w:lastRenderedPageBreak/>
        <w:t>יהודה והשומרון</w:t>
      </w:r>
    </w:p>
    <w:p w:rsidR="0012073C" w:rsidRDefault="00712470" w:rsidP="00712470">
      <w:pPr>
        <w:pStyle w:val="big-header"/>
        <w:ind w:left="0" w:right="1134"/>
        <w:rPr>
          <w:rStyle w:val="default"/>
          <w:rFonts w:hint="cs"/>
          <w:sz w:val="22"/>
          <w:szCs w:val="22"/>
          <w:rtl/>
        </w:rPr>
      </w:pPr>
      <w:r>
        <w:rPr>
          <w:rFonts w:cs="FrankRuehl" w:hint="cs"/>
          <w:sz w:val="32"/>
          <w:rtl/>
        </w:rPr>
        <w:t>צו בדבר מניעת הסתננות (יהודה והשומרון) (מס' 329), תשכ"ט-1969</w:t>
      </w:r>
      <w:r w:rsidR="0012073C">
        <w:rPr>
          <w:rStyle w:val="default"/>
          <w:sz w:val="22"/>
          <w:szCs w:val="22"/>
          <w:rtl/>
        </w:rPr>
        <w:footnoteReference w:customMarkFollows="1" w:id="1"/>
        <w:t>*</w:t>
      </w:r>
    </w:p>
    <w:p w:rsidR="0012073C" w:rsidRDefault="0012073C" w:rsidP="007F58C4">
      <w:pPr>
        <w:pStyle w:val="P00"/>
        <w:spacing w:before="72"/>
        <w:ind w:left="0" w:right="1134"/>
        <w:rPr>
          <w:rStyle w:val="default"/>
          <w:rFonts w:cs="FrankRuehl" w:hint="cs"/>
          <w:rtl/>
        </w:rPr>
      </w:pPr>
      <w:r>
        <w:rPr>
          <w:rStyle w:val="default"/>
          <w:rFonts w:cs="FrankRuehl" w:hint="cs"/>
          <w:rtl/>
        </w:rPr>
        <w:tab/>
      </w:r>
      <w:r w:rsidR="007F58C4">
        <w:rPr>
          <w:rStyle w:val="default"/>
          <w:rFonts w:cs="FrankRuehl" w:hint="cs"/>
          <w:rtl/>
        </w:rPr>
        <w:t>בתוקף סמכויותי כמפקד האזור, הנני מצווה בזה לאמור:</w:t>
      </w:r>
    </w:p>
    <w:p w:rsidR="0012073C" w:rsidRDefault="0012073C" w:rsidP="00DE5FA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48000" o:allowincell="f" filled="f" stroked="f" strokecolor="lime" strokeweight=".25pt">
            <v:textbox style="mso-next-textbox:#_x0000_s1026" inset="0,0,0,0">
              <w:txbxContent>
                <w:p w:rsidR="00017037" w:rsidRDefault="0001703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E5FAF">
        <w:rPr>
          <w:rStyle w:val="default"/>
          <w:rFonts w:cs="FrankRuehl" w:hint="cs"/>
          <w:rtl/>
        </w:rPr>
        <w:t xml:space="preserve">בצו זה </w:t>
      </w:r>
      <w:r w:rsidR="00DE5FAF">
        <w:rPr>
          <w:rStyle w:val="default"/>
          <w:rFonts w:cs="FrankRuehl"/>
          <w:rtl/>
        </w:rPr>
        <w:t>–</w:t>
      </w:r>
    </w:p>
    <w:p w:rsidR="007F58C4" w:rsidRDefault="00F74F5E" w:rsidP="00F74F5E">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292" type="#_x0000_t202" style="position:absolute;left:0;text-align:left;margin-left:470.35pt;margin-top:7.1pt;width:1in;height:18pt;z-index:251659264" filled="f" stroked="f">
            <v:textbox inset="1mm,0,1mm,0">
              <w:txbxContent>
                <w:p w:rsidR="00017037" w:rsidRDefault="00017037" w:rsidP="00F74F5E">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sidR="007F58C4">
        <w:rPr>
          <w:rStyle w:val="default"/>
          <w:rFonts w:cs="FrankRuehl" w:hint="cs"/>
          <w:rtl/>
        </w:rPr>
        <w:tab/>
        <w:t xml:space="preserve">"כדין" </w:t>
      </w:r>
      <w:r w:rsidR="007F58C4">
        <w:rPr>
          <w:rStyle w:val="default"/>
          <w:rFonts w:cs="FrankRuehl"/>
          <w:rtl/>
        </w:rPr>
        <w:t>–</w:t>
      </w:r>
      <w:r w:rsidR="007F58C4">
        <w:rPr>
          <w:rStyle w:val="default"/>
          <w:rFonts w:cs="FrankRuehl" w:hint="cs"/>
          <w:rtl/>
        </w:rPr>
        <w:t xml:space="preserve"> </w:t>
      </w:r>
      <w:r>
        <w:rPr>
          <w:rStyle w:val="default"/>
          <w:rFonts w:cs="FrankRuehl" w:hint="cs"/>
          <w:rtl/>
        </w:rPr>
        <w:t>(נמחקה)</w:t>
      </w:r>
      <w:r w:rsidR="007F58C4">
        <w:rPr>
          <w:rStyle w:val="default"/>
          <w:rFonts w:cs="FrankRuehl" w:hint="cs"/>
          <w:rtl/>
        </w:rPr>
        <w:t>;</w:t>
      </w:r>
    </w:p>
    <w:p w:rsidR="00F74F5E" w:rsidRPr="006836D9" w:rsidRDefault="00F74F5E" w:rsidP="00F74F5E">
      <w:pPr>
        <w:pStyle w:val="P00"/>
        <w:spacing w:before="0"/>
        <w:ind w:left="0" w:right="1134"/>
        <w:rPr>
          <w:rStyle w:val="default"/>
          <w:rFonts w:cs="FrankRuehl" w:hint="cs"/>
          <w:vanish/>
          <w:color w:val="FF0000"/>
          <w:sz w:val="20"/>
          <w:szCs w:val="20"/>
          <w:shd w:val="clear" w:color="auto" w:fill="FFFF99"/>
          <w:rtl/>
        </w:rPr>
      </w:pPr>
      <w:bookmarkStart w:id="1" w:name="Rov3"/>
      <w:r w:rsidRPr="006836D9">
        <w:rPr>
          <w:rStyle w:val="default"/>
          <w:rFonts w:cs="FrankRuehl" w:hint="cs"/>
          <w:vanish/>
          <w:color w:val="FF0000"/>
          <w:sz w:val="20"/>
          <w:szCs w:val="20"/>
          <w:shd w:val="clear" w:color="auto" w:fill="FFFF99"/>
          <w:rtl/>
        </w:rPr>
        <w:t>מיום 13.4.2010</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hyperlink r:id="rId7"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5843</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מחיקת הגדרת "כדין"</w:t>
      </w:r>
    </w:p>
    <w:p w:rsidR="00F74F5E" w:rsidRPr="006836D9" w:rsidRDefault="00F74F5E" w:rsidP="00F74F5E">
      <w:pPr>
        <w:pStyle w:val="P00"/>
        <w:ind w:left="0" w:right="1134"/>
        <w:rPr>
          <w:rStyle w:val="default"/>
          <w:rFonts w:cs="FrankRuehl" w:hint="cs"/>
          <w:vanish/>
          <w:sz w:val="20"/>
          <w:szCs w:val="20"/>
          <w:shd w:val="clear" w:color="auto" w:fill="FFFF99"/>
          <w:rtl/>
        </w:rPr>
      </w:pPr>
      <w:r w:rsidRPr="006836D9">
        <w:rPr>
          <w:rStyle w:val="default"/>
          <w:rFonts w:cs="FrankRuehl" w:hint="cs"/>
          <w:vanish/>
          <w:sz w:val="20"/>
          <w:szCs w:val="20"/>
          <w:shd w:val="clear" w:color="auto" w:fill="FFFF99"/>
          <w:rtl/>
        </w:rPr>
        <w:t>הנוסח הקודם:</w:t>
      </w:r>
    </w:p>
    <w:p w:rsidR="00F74F5E" w:rsidRPr="00F74F5E" w:rsidRDefault="00F74F5E" w:rsidP="00F74F5E">
      <w:pPr>
        <w:pStyle w:val="P00"/>
        <w:spacing w:before="0"/>
        <w:ind w:left="0" w:right="1134"/>
        <w:rPr>
          <w:rStyle w:val="default"/>
          <w:rFonts w:cs="FrankRuehl" w:hint="cs"/>
          <w:strike/>
          <w:sz w:val="2"/>
          <w:szCs w:val="2"/>
          <w:rtl/>
        </w:rPr>
      </w:pPr>
      <w:r w:rsidRPr="006836D9">
        <w:rPr>
          <w:rStyle w:val="default"/>
          <w:rFonts w:cs="FrankRuehl" w:hint="cs"/>
          <w:vanish/>
          <w:sz w:val="22"/>
          <w:szCs w:val="22"/>
          <w:shd w:val="clear" w:color="auto" w:fill="FFFF99"/>
          <w:rtl/>
        </w:rPr>
        <w:tab/>
      </w:r>
      <w:r w:rsidRPr="006836D9">
        <w:rPr>
          <w:rStyle w:val="default"/>
          <w:rFonts w:cs="FrankRuehl" w:hint="cs"/>
          <w:strike/>
          <w:vanish/>
          <w:sz w:val="22"/>
          <w:szCs w:val="22"/>
          <w:shd w:val="clear" w:color="auto" w:fill="FFFF99"/>
          <w:rtl/>
        </w:rPr>
        <w:t xml:space="preserve">"כדין" </w:t>
      </w:r>
      <w:r w:rsidRPr="006836D9">
        <w:rPr>
          <w:rStyle w:val="default"/>
          <w:rFonts w:cs="FrankRuehl"/>
          <w:strike/>
          <w:vanish/>
          <w:sz w:val="22"/>
          <w:szCs w:val="22"/>
          <w:shd w:val="clear" w:color="auto" w:fill="FFFF99"/>
          <w:rtl/>
        </w:rPr>
        <w:t>–</w:t>
      </w:r>
      <w:r w:rsidRPr="006836D9">
        <w:rPr>
          <w:rStyle w:val="default"/>
          <w:rFonts w:cs="FrankRuehl" w:hint="cs"/>
          <w:strike/>
          <w:vanish/>
          <w:sz w:val="22"/>
          <w:szCs w:val="22"/>
          <w:shd w:val="clear" w:color="auto" w:fill="FFFF99"/>
          <w:rtl/>
        </w:rPr>
        <w:t xml:space="preserve"> על-פי רשיון של מפקד האזור או מי שהוסמך על-ידו;</w:t>
      </w:r>
      <w:bookmarkEnd w:id="1"/>
    </w:p>
    <w:p w:rsidR="007F58C4" w:rsidRDefault="00F74F5E" w:rsidP="00F74F5E">
      <w:pPr>
        <w:pStyle w:val="P00"/>
        <w:spacing w:before="72"/>
        <w:ind w:left="0" w:right="1134"/>
        <w:rPr>
          <w:rStyle w:val="default"/>
          <w:rFonts w:cs="FrankRuehl" w:hint="cs"/>
          <w:rtl/>
        </w:rPr>
      </w:pPr>
      <w:r>
        <w:rPr>
          <w:rFonts w:cs="FrankRuehl" w:hint="cs"/>
          <w:sz w:val="26"/>
          <w:rtl/>
          <w:lang w:eastAsia="en-US"/>
        </w:rPr>
        <w:pict>
          <v:shape id="_x0000_s1293" type="#_x0000_t202" style="position:absolute;left:0;text-align:left;margin-left:470.35pt;margin-top:7.1pt;width:1in;height:18pt;z-index:251660288" filled="f" stroked="f">
            <v:textbox inset="1mm,0,1mm,0">
              <w:txbxContent>
                <w:p w:rsidR="00017037" w:rsidRDefault="00017037" w:rsidP="00F74F5E">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sidR="007F58C4">
        <w:rPr>
          <w:rStyle w:val="default"/>
          <w:rFonts w:cs="FrankRuehl" w:hint="cs"/>
          <w:rtl/>
        </w:rPr>
        <w:tab/>
        <w:t xml:space="preserve">"מסתנן" </w:t>
      </w:r>
      <w:r w:rsidR="007F58C4">
        <w:rPr>
          <w:rStyle w:val="default"/>
          <w:rFonts w:cs="FrankRuehl"/>
          <w:rtl/>
        </w:rPr>
        <w:t>–</w:t>
      </w:r>
      <w:r w:rsidR="007F58C4">
        <w:rPr>
          <w:rStyle w:val="default"/>
          <w:rFonts w:cs="FrankRuehl" w:hint="cs"/>
          <w:rtl/>
        </w:rPr>
        <w:t xml:space="preserve"> מי שנכנס לאזור שלא כדין לאחר היום הקובע</w:t>
      </w:r>
      <w:r>
        <w:rPr>
          <w:rStyle w:val="default"/>
          <w:rFonts w:cs="FrankRuehl" w:hint="cs"/>
          <w:rtl/>
        </w:rPr>
        <w:t xml:space="preserve"> או מי ששוהה באזור ושאין בידו היתר כדין</w:t>
      </w:r>
      <w:r w:rsidR="007F58C4">
        <w:rPr>
          <w:rStyle w:val="default"/>
          <w:rFonts w:cs="FrankRuehl" w:hint="cs"/>
          <w:rtl/>
        </w:rPr>
        <w:t>;</w:t>
      </w:r>
    </w:p>
    <w:p w:rsidR="00F74F5E" w:rsidRPr="006836D9" w:rsidRDefault="00F74F5E" w:rsidP="00F74F5E">
      <w:pPr>
        <w:pStyle w:val="P00"/>
        <w:spacing w:before="0"/>
        <w:ind w:left="0" w:right="1134"/>
        <w:rPr>
          <w:rStyle w:val="default"/>
          <w:rFonts w:cs="FrankRuehl" w:hint="cs"/>
          <w:vanish/>
          <w:color w:val="FF0000"/>
          <w:sz w:val="20"/>
          <w:szCs w:val="20"/>
          <w:shd w:val="clear" w:color="auto" w:fill="FFFF99"/>
          <w:rtl/>
        </w:rPr>
      </w:pPr>
      <w:bookmarkStart w:id="2" w:name="Rov4"/>
      <w:r w:rsidRPr="006836D9">
        <w:rPr>
          <w:rStyle w:val="default"/>
          <w:rFonts w:cs="FrankRuehl" w:hint="cs"/>
          <w:vanish/>
          <w:color w:val="FF0000"/>
          <w:sz w:val="20"/>
          <w:szCs w:val="20"/>
          <w:shd w:val="clear" w:color="auto" w:fill="FFFF99"/>
          <w:rtl/>
        </w:rPr>
        <w:t>מיום 13.4.2010</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hyperlink r:id="rId8"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5843</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החלפת הגדרת "מסתנן"</w:t>
      </w:r>
    </w:p>
    <w:p w:rsidR="00F74F5E" w:rsidRPr="006836D9" w:rsidRDefault="00F74F5E" w:rsidP="00F74F5E">
      <w:pPr>
        <w:pStyle w:val="P00"/>
        <w:ind w:left="0" w:right="1134"/>
        <w:rPr>
          <w:rStyle w:val="default"/>
          <w:rFonts w:cs="FrankRuehl" w:hint="cs"/>
          <w:vanish/>
          <w:sz w:val="20"/>
          <w:szCs w:val="20"/>
          <w:shd w:val="clear" w:color="auto" w:fill="FFFF99"/>
          <w:rtl/>
        </w:rPr>
      </w:pPr>
      <w:r w:rsidRPr="006836D9">
        <w:rPr>
          <w:rStyle w:val="default"/>
          <w:rFonts w:cs="FrankRuehl" w:hint="cs"/>
          <w:vanish/>
          <w:sz w:val="20"/>
          <w:szCs w:val="20"/>
          <w:shd w:val="clear" w:color="auto" w:fill="FFFF99"/>
          <w:rtl/>
        </w:rPr>
        <w:t>הנוסח הקודם:</w:t>
      </w:r>
    </w:p>
    <w:p w:rsidR="00F74F5E" w:rsidRPr="00F74F5E" w:rsidRDefault="00F74F5E" w:rsidP="00F74F5E">
      <w:pPr>
        <w:pStyle w:val="P00"/>
        <w:spacing w:before="0"/>
        <w:ind w:left="0" w:right="1134"/>
        <w:rPr>
          <w:rStyle w:val="default"/>
          <w:rFonts w:cs="FrankRuehl" w:hint="cs"/>
          <w:strike/>
          <w:sz w:val="2"/>
          <w:szCs w:val="2"/>
          <w:rtl/>
        </w:rPr>
      </w:pPr>
      <w:r w:rsidRPr="006836D9">
        <w:rPr>
          <w:rStyle w:val="default"/>
          <w:rFonts w:cs="FrankRuehl" w:hint="cs"/>
          <w:vanish/>
          <w:sz w:val="22"/>
          <w:szCs w:val="22"/>
          <w:shd w:val="clear" w:color="auto" w:fill="FFFF99"/>
          <w:rtl/>
        </w:rPr>
        <w:tab/>
      </w:r>
      <w:r w:rsidRPr="006836D9">
        <w:rPr>
          <w:rStyle w:val="default"/>
          <w:rFonts w:cs="FrankRuehl" w:hint="cs"/>
          <w:strike/>
          <w:vanish/>
          <w:sz w:val="22"/>
          <w:szCs w:val="22"/>
          <w:shd w:val="clear" w:color="auto" w:fill="FFFF99"/>
          <w:rtl/>
        </w:rPr>
        <w:t xml:space="preserve">"מסתנן" </w:t>
      </w:r>
      <w:r w:rsidRPr="006836D9">
        <w:rPr>
          <w:rStyle w:val="default"/>
          <w:rFonts w:cs="FrankRuehl"/>
          <w:strike/>
          <w:vanish/>
          <w:sz w:val="22"/>
          <w:szCs w:val="22"/>
          <w:shd w:val="clear" w:color="auto" w:fill="FFFF99"/>
          <w:rtl/>
        </w:rPr>
        <w:t>–</w:t>
      </w:r>
      <w:r w:rsidRPr="006836D9">
        <w:rPr>
          <w:rStyle w:val="default"/>
          <w:rFonts w:cs="FrankRuehl" w:hint="cs"/>
          <w:strike/>
          <w:vanish/>
          <w:sz w:val="22"/>
          <w:szCs w:val="22"/>
          <w:shd w:val="clear" w:color="auto" w:fill="FFFF99"/>
          <w:rtl/>
        </w:rPr>
        <w:t xml:space="preserve"> מי שנכנס לאזור ביודעין ושלא כדין לאחר ששהה בגדה המזרחית של הירדן, בסוריה, במצרים או בלבנון לאחר היום הקובע;</w:t>
      </w:r>
      <w:bookmarkEnd w:id="2"/>
    </w:p>
    <w:p w:rsidR="007F58C4" w:rsidRDefault="00F74F5E" w:rsidP="00F74F5E">
      <w:pPr>
        <w:pStyle w:val="P00"/>
        <w:spacing w:before="72"/>
        <w:ind w:left="0" w:right="1134"/>
        <w:rPr>
          <w:rStyle w:val="default"/>
          <w:rFonts w:cs="FrankRuehl" w:hint="cs"/>
          <w:rtl/>
        </w:rPr>
      </w:pPr>
      <w:r>
        <w:rPr>
          <w:rFonts w:cs="FrankRuehl" w:hint="cs"/>
          <w:sz w:val="26"/>
          <w:rtl/>
          <w:lang w:eastAsia="en-US"/>
        </w:rPr>
        <w:pict>
          <v:shape id="_x0000_s1294" type="#_x0000_t202" style="position:absolute;left:0;text-align:left;margin-left:470.35pt;margin-top:7.1pt;width:1in;height:18pt;z-index:251661312" filled="f" stroked="f">
            <v:textbox inset="1mm,0,1mm,0">
              <w:txbxContent>
                <w:p w:rsidR="00017037" w:rsidRDefault="00017037" w:rsidP="00F74F5E">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sidR="007F58C4">
        <w:rPr>
          <w:rStyle w:val="default"/>
          <w:rFonts w:cs="FrankRuehl" w:hint="cs"/>
          <w:rtl/>
        </w:rPr>
        <w:tab/>
        <w:t xml:space="preserve">"תושב האזור" </w:t>
      </w:r>
      <w:r w:rsidR="007F58C4">
        <w:rPr>
          <w:rStyle w:val="default"/>
          <w:rFonts w:cs="FrankRuehl"/>
          <w:rtl/>
        </w:rPr>
        <w:t>–</w:t>
      </w:r>
      <w:r w:rsidR="007F58C4">
        <w:rPr>
          <w:rStyle w:val="default"/>
          <w:rFonts w:cs="FrankRuehl" w:hint="cs"/>
          <w:rtl/>
        </w:rPr>
        <w:t xml:space="preserve"> </w:t>
      </w:r>
      <w:r>
        <w:rPr>
          <w:rStyle w:val="default"/>
          <w:rFonts w:cs="FrankRuehl" w:hint="cs"/>
          <w:rtl/>
        </w:rPr>
        <w:t>(נמחקה)</w:t>
      </w:r>
      <w:r w:rsidR="007F58C4">
        <w:rPr>
          <w:rStyle w:val="default"/>
          <w:rFonts w:cs="FrankRuehl" w:hint="cs"/>
          <w:rtl/>
        </w:rPr>
        <w:t>;</w:t>
      </w:r>
    </w:p>
    <w:p w:rsidR="00F74F5E" w:rsidRPr="006836D9" w:rsidRDefault="00F74F5E" w:rsidP="00F74F5E">
      <w:pPr>
        <w:pStyle w:val="P00"/>
        <w:spacing w:before="0"/>
        <w:ind w:left="0" w:right="1134"/>
        <w:rPr>
          <w:rStyle w:val="default"/>
          <w:rFonts w:cs="FrankRuehl" w:hint="cs"/>
          <w:vanish/>
          <w:color w:val="FF0000"/>
          <w:sz w:val="20"/>
          <w:szCs w:val="20"/>
          <w:shd w:val="clear" w:color="auto" w:fill="FFFF99"/>
          <w:rtl/>
        </w:rPr>
      </w:pPr>
      <w:bookmarkStart w:id="3" w:name="Rov5"/>
      <w:r w:rsidRPr="006836D9">
        <w:rPr>
          <w:rStyle w:val="default"/>
          <w:rFonts w:cs="FrankRuehl" w:hint="cs"/>
          <w:vanish/>
          <w:color w:val="FF0000"/>
          <w:sz w:val="20"/>
          <w:szCs w:val="20"/>
          <w:shd w:val="clear" w:color="auto" w:fill="FFFF99"/>
          <w:rtl/>
        </w:rPr>
        <w:t>מיום 13.4.2010</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hyperlink r:id="rId9"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5843</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מחיקת הגדרת "תושב האזור"</w:t>
      </w:r>
    </w:p>
    <w:p w:rsidR="00F74F5E" w:rsidRPr="006836D9" w:rsidRDefault="00F74F5E" w:rsidP="00F74F5E">
      <w:pPr>
        <w:pStyle w:val="P00"/>
        <w:ind w:left="0" w:right="1134"/>
        <w:rPr>
          <w:rStyle w:val="default"/>
          <w:rFonts w:cs="FrankRuehl" w:hint="cs"/>
          <w:vanish/>
          <w:sz w:val="20"/>
          <w:szCs w:val="20"/>
          <w:shd w:val="clear" w:color="auto" w:fill="FFFF99"/>
          <w:rtl/>
        </w:rPr>
      </w:pPr>
      <w:r w:rsidRPr="006836D9">
        <w:rPr>
          <w:rStyle w:val="default"/>
          <w:rFonts w:cs="FrankRuehl" w:hint="cs"/>
          <w:vanish/>
          <w:sz w:val="20"/>
          <w:szCs w:val="20"/>
          <w:shd w:val="clear" w:color="auto" w:fill="FFFF99"/>
          <w:rtl/>
        </w:rPr>
        <w:t>הנוסח הקודם:</w:t>
      </w:r>
    </w:p>
    <w:p w:rsidR="00F74F5E" w:rsidRPr="00F74F5E" w:rsidRDefault="00F74F5E" w:rsidP="00F74F5E">
      <w:pPr>
        <w:pStyle w:val="P00"/>
        <w:spacing w:before="0"/>
        <w:ind w:left="0" w:right="1134"/>
        <w:rPr>
          <w:rStyle w:val="default"/>
          <w:rFonts w:cs="FrankRuehl" w:hint="cs"/>
          <w:strike/>
          <w:sz w:val="2"/>
          <w:szCs w:val="2"/>
          <w:rtl/>
        </w:rPr>
      </w:pPr>
      <w:r w:rsidRPr="006836D9">
        <w:rPr>
          <w:rStyle w:val="default"/>
          <w:rFonts w:cs="FrankRuehl" w:hint="cs"/>
          <w:vanish/>
          <w:sz w:val="22"/>
          <w:szCs w:val="22"/>
          <w:shd w:val="clear" w:color="auto" w:fill="FFFF99"/>
          <w:rtl/>
        </w:rPr>
        <w:tab/>
      </w:r>
      <w:r w:rsidRPr="006836D9">
        <w:rPr>
          <w:rStyle w:val="default"/>
          <w:rFonts w:cs="FrankRuehl" w:hint="cs"/>
          <w:strike/>
          <w:vanish/>
          <w:sz w:val="22"/>
          <w:szCs w:val="22"/>
          <w:shd w:val="clear" w:color="auto" w:fill="FFFF99"/>
          <w:rtl/>
        </w:rPr>
        <w:t xml:space="preserve">"תושב האזור" </w:t>
      </w:r>
      <w:r w:rsidRPr="006836D9">
        <w:rPr>
          <w:rStyle w:val="default"/>
          <w:rFonts w:cs="FrankRuehl"/>
          <w:strike/>
          <w:vanish/>
          <w:sz w:val="22"/>
          <w:szCs w:val="22"/>
          <w:shd w:val="clear" w:color="auto" w:fill="FFFF99"/>
          <w:rtl/>
        </w:rPr>
        <w:t>–</w:t>
      </w:r>
      <w:r w:rsidRPr="006836D9">
        <w:rPr>
          <w:rStyle w:val="default"/>
          <w:rFonts w:cs="FrankRuehl" w:hint="cs"/>
          <w:strike/>
          <w:vanish/>
          <w:sz w:val="22"/>
          <w:szCs w:val="22"/>
          <w:shd w:val="clear" w:color="auto" w:fill="FFFF99"/>
          <w:rtl/>
        </w:rPr>
        <w:t xml:space="preserve"> מי שמקום מגוריו הקבוע באזור;</w:t>
      </w:r>
      <w:bookmarkEnd w:id="3"/>
    </w:p>
    <w:p w:rsidR="007F58C4" w:rsidRDefault="007F58C4" w:rsidP="007F58C4">
      <w:pPr>
        <w:pStyle w:val="P00"/>
        <w:spacing w:before="72"/>
        <w:ind w:left="0" w:right="1134"/>
        <w:rPr>
          <w:rStyle w:val="default"/>
          <w:rFonts w:cs="FrankRuehl" w:hint="cs"/>
          <w:rtl/>
        </w:rPr>
      </w:pPr>
      <w:r>
        <w:rPr>
          <w:rStyle w:val="default"/>
          <w:rFonts w:cs="FrankRuehl" w:hint="cs"/>
          <w:rtl/>
        </w:rPr>
        <w:tab/>
        <w:t xml:space="preserve">"מזויין" </w:t>
      </w:r>
      <w:r>
        <w:rPr>
          <w:rStyle w:val="default"/>
          <w:rFonts w:cs="FrankRuehl"/>
          <w:rtl/>
        </w:rPr>
        <w:t>–</w:t>
      </w:r>
      <w:r>
        <w:rPr>
          <w:rStyle w:val="default"/>
          <w:rFonts w:cs="FrankRuehl" w:hint="cs"/>
          <w:rtl/>
        </w:rPr>
        <w:t xml:space="preserve"> לרבות מי שמזויין במכשיר או בחומר העשוי להמית אדם או לגרום לו חבלה חמורה או חבלה מסוכנת אף שאינו כלי ירייה או חומר נפץ או חומר מתלקח.</w:t>
      </w:r>
    </w:p>
    <w:p w:rsidR="0012073C" w:rsidRDefault="0012073C" w:rsidP="00F74F5E">
      <w:pPr>
        <w:pStyle w:val="P00"/>
        <w:spacing w:before="72"/>
        <w:ind w:left="0" w:right="1134"/>
        <w:rPr>
          <w:rStyle w:val="default"/>
          <w:rFonts w:cs="FrankRuehl" w:hint="cs"/>
          <w:rtl/>
        </w:rPr>
      </w:pPr>
      <w:bookmarkStart w:id="4" w:name="Seif2"/>
      <w:bookmarkEnd w:id="4"/>
      <w:r>
        <w:rPr>
          <w:rFonts w:cs="Miriam"/>
          <w:lang w:val="he-IL"/>
        </w:rPr>
        <w:pict>
          <v:rect id="_x0000_s1214" style="position:absolute;left:0;text-align:left;margin-left:464.35pt;margin-top:7.1pt;width:75.05pt;height:29.65pt;z-index:251649024" o:allowincell="f" filled="f" stroked="f" strokecolor="lime" strokeweight=".25pt">
            <v:textbox style="mso-next-textbox:#_x0000_s1214" inset="0,0,0,0">
              <w:txbxContent>
                <w:p w:rsidR="00017037" w:rsidRDefault="00017037" w:rsidP="00CE3AB7">
                  <w:pPr>
                    <w:spacing w:line="160" w:lineRule="exact"/>
                    <w:rPr>
                      <w:rFonts w:cs="Miriam" w:hint="cs"/>
                      <w:noProof/>
                      <w:sz w:val="18"/>
                      <w:szCs w:val="18"/>
                      <w:rtl/>
                    </w:rPr>
                  </w:pPr>
                  <w:r>
                    <w:rPr>
                      <w:rFonts w:cs="Miriam" w:hint="cs"/>
                      <w:sz w:val="18"/>
                      <w:szCs w:val="18"/>
                      <w:rtl/>
                    </w:rPr>
                    <w:t>דין מסתנן</w:t>
                  </w:r>
                </w:p>
                <w:p w:rsidR="00017037" w:rsidRDefault="00017037" w:rsidP="00F74F5E">
                  <w:pPr>
                    <w:spacing w:line="160" w:lineRule="exact"/>
                    <w:rPr>
                      <w:rFonts w:cs="Miriam" w:hint="cs"/>
                      <w:noProof/>
                      <w:sz w:val="18"/>
                      <w:szCs w:val="18"/>
                      <w:rtl/>
                    </w:rPr>
                  </w:pPr>
                  <w:r>
                    <w:rPr>
                      <w:rFonts w:cs="Miriam" w:hint="cs"/>
                      <w:sz w:val="18"/>
                      <w:szCs w:val="18"/>
                      <w:rtl/>
                    </w:rPr>
                    <w:t>תיקון מס' 2 (מס' 1650) תשס"ט-2009</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74F5E">
        <w:rPr>
          <w:rStyle w:val="default"/>
          <w:rFonts w:cs="FrankRuehl" w:hint="cs"/>
          <w:rtl/>
        </w:rPr>
        <w:t>(א)</w:t>
      </w:r>
      <w:r w:rsidR="00F74F5E">
        <w:rPr>
          <w:rStyle w:val="default"/>
          <w:rFonts w:cs="FrankRuehl" w:hint="cs"/>
          <w:rtl/>
        </w:rPr>
        <w:tab/>
        <w:t>המסתנן, דינו מאסר שבע שנים.</w:t>
      </w:r>
    </w:p>
    <w:p w:rsidR="00F74F5E" w:rsidRDefault="00F74F5E" w:rsidP="00F74F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הוכיח מסתנן כי כניסתו לאזור הייתה כדין, דינו </w:t>
      </w:r>
      <w:r>
        <w:rPr>
          <w:rStyle w:val="default"/>
          <w:rFonts w:cs="FrankRuehl"/>
          <w:rtl/>
        </w:rPr>
        <w:t>–</w:t>
      </w:r>
      <w:r>
        <w:rPr>
          <w:rStyle w:val="default"/>
          <w:rFonts w:cs="FrankRuehl" w:hint="cs"/>
          <w:rtl/>
        </w:rPr>
        <w:t xml:space="preserve"> מאסר שלוש שנים.</w:t>
      </w:r>
    </w:p>
    <w:p w:rsidR="00F74F5E" w:rsidRPr="006836D9" w:rsidRDefault="00F74F5E" w:rsidP="00F74F5E">
      <w:pPr>
        <w:pStyle w:val="P00"/>
        <w:spacing w:before="0"/>
        <w:ind w:left="0" w:right="1134"/>
        <w:rPr>
          <w:rStyle w:val="default"/>
          <w:rFonts w:cs="FrankRuehl" w:hint="cs"/>
          <w:vanish/>
          <w:color w:val="FF0000"/>
          <w:sz w:val="20"/>
          <w:szCs w:val="20"/>
          <w:shd w:val="clear" w:color="auto" w:fill="FFFF99"/>
          <w:rtl/>
        </w:rPr>
      </w:pPr>
      <w:bookmarkStart w:id="5" w:name="Rov6"/>
      <w:r w:rsidRPr="006836D9">
        <w:rPr>
          <w:rStyle w:val="default"/>
          <w:rFonts w:cs="FrankRuehl" w:hint="cs"/>
          <w:vanish/>
          <w:color w:val="FF0000"/>
          <w:sz w:val="20"/>
          <w:szCs w:val="20"/>
          <w:shd w:val="clear" w:color="auto" w:fill="FFFF99"/>
          <w:rtl/>
        </w:rPr>
        <w:t>מיום 13.4.2010</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hyperlink r:id="rId10"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5843</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החלפת סעיף 2</w:t>
      </w:r>
    </w:p>
    <w:p w:rsidR="00F74F5E" w:rsidRPr="006836D9" w:rsidRDefault="00F74F5E" w:rsidP="00F74F5E">
      <w:pPr>
        <w:pStyle w:val="P00"/>
        <w:ind w:left="0" w:right="1134"/>
        <w:rPr>
          <w:rStyle w:val="default"/>
          <w:rFonts w:cs="FrankRuehl" w:hint="cs"/>
          <w:vanish/>
          <w:sz w:val="20"/>
          <w:szCs w:val="20"/>
          <w:shd w:val="clear" w:color="auto" w:fill="FFFF99"/>
          <w:rtl/>
        </w:rPr>
      </w:pPr>
      <w:r w:rsidRPr="006836D9">
        <w:rPr>
          <w:rStyle w:val="default"/>
          <w:rFonts w:cs="FrankRuehl" w:hint="cs"/>
          <w:vanish/>
          <w:sz w:val="20"/>
          <w:szCs w:val="20"/>
          <w:shd w:val="clear" w:color="auto" w:fill="FFFF99"/>
          <w:rtl/>
        </w:rPr>
        <w:t>הנוסח הקודם:</w:t>
      </w:r>
    </w:p>
    <w:p w:rsidR="00F74F5E" w:rsidRPr="006836D9" w:rsidRDefault="00F74F5E" w:rsidP="00F74F5E">
      <w:pPr>
        <w:pStyle w:val="P00"/>
        <w:spacing w:before="20"/>
        <w:ind w:left="0" w:right="1134"/>
        <w:rPr>
          <w:rStyle w:val="big-number"/>
          <w:rFonts w:cs="Miriam" w:hint="cs"/>
          <w:strike/>
          <w:vanish/>
          <w:sz w:val="16"/>
          <w:szCs w:val="16"/>
          <w:shd w:val="clear" w:color="auto" w:fill="FFFF99"/>
          <w:rtl/>
        </w:rPr>
      </w:pPr>
      <w:r w:rsidRPr="006836D9">
        <w:rPr>
          <w:rStyle w:val="big-number"/>
          <w:rFonts w:cs="Miriam" w:hint="cs"/>
          <w:strike/>
          <w:vanish/>
          <w:sz w:val="16"/>
          <w:szCs w:val="16"/>
          <w:shd w:val="clear" w:color="auto" w:fill="FFFF99"/>
          <w:rtl/>
        </w:rPr>
        <w:t>דין מסתנן</w:t>
      </w:r>
    </w:p>
    <w:p w:rsidR="00F74F5E" w:rsidRPr="00F74F5E" w:rsidRDefault="00F74F5E" w:rsidP="00F74F5E">
      <w:pPr>
        <w:pStyle w:val="P00"/>
        <w:spacing w:before="0"/>
        <w:ind w:left="0" w:right="1134"/>
        <w:rPr>
          <w:rStyle w:val="default"/>
          <w:rFonts w:cs="FrankRuehl" w:hint="cs"/>
          <w:strike/>
          <w:sz w:val="2"/>
          <w:szCs w:val="2"/>
          <w:rtl/>
        </w:rPr>
      </w:pPr>
      <w:r w:rsidRPr="006836D9">
        <w:rPr>
          <w:rStyle w:val="big-number"/>
          <w:rFonts w:cs="FrankRuehl" w:hint="cs"/>
          <w:strike/>
          <w:vanish/>
          <w:sz w:val="22"/>
          <w:szCs w:val="22"/>
          <w:shd w:val="clear" w:color="auto" w:fill="FFFF99"/>
          <w:rtl/>
        </w:rPr>
        <w:t>2</w:t>
      </w:r>
      <w:r w:rsidRPr="006836D9">
        <w:rPr>
          <w:rStyle w:val="big-number"/>
          <w:rFonts w:cs="FrankRuehl"/>
          <w:strike/>
          <w:vanish/>
          <w:sz w:val="22"/>
          <w:szCs w:val="22"/>
          <w:shd w:val="clear" w:color="auto" w:fill="FFFF99"/>
          <w:rtl/>
        </w:rPr>
        <w:t>.</w:t>
      </w:r>
      <w:r w:rsidRPr="006836D9">
        <w:rPr>
          <w:rStyle w:val="big-number"/>
          <w:rFonts w:cs="FrankRuehl"/>
          <w:strike/>
          <w:vanish/>
          <w:sz w:val="22"/>
          <w:szCs w:val="22"/>
          <w:shd w:val="clear" w:color="auto" w:fill="FFFF99"/>
          <w:rtl/>
        </w:rPr>
        <w:tab/>
      </w:r>
      <w:r w:rsidRPr="006836D9">
        <w:rPr>
          <w:rStyle w:val="default"/>
          <w:rFonts w:cs="FrankRuehl" w:hint="cs"/>
          <w:strike/>
          <w:vanish/>
          <w:sz w:val="22"/>
          <w:szCs w:val="22"/>
          <w:shd w:val="clear" w:color="auto" w:fill="FFFF99"/>
          <w:rtl/>
        </w:rPr>
        <w:t>המסתנן, דינו מאסר חמש עשרה שנים או קנס -.10,000 ל"י או שני העונשים כאחד.</w:t>
      </w:r>
      <w:bookmarkEnd w:id="5"/>
    </w:p>
    <w:p w:rsidR="0012073C" w:rsidRDefault="0012073C" w:rsidP="007F58C4">
      <w:pPr>
        <w:pStyle w:val="P00"/>
        <w:spacing w:before="72"/>
        <w:ind w:left="0" w:right="1134"/>
        <w:rPr>
          <w:rStyle w:val="big-number"/>
          <w:rFonts w:cs="FrankRuehl" w:hint="cs"/>
          <w:sz w:val="26"/>
          <w:szCs w:val="26"/>
          <w:rtl/>
        </w:rPr>
      </w:pPr>
      <w:bookmarkStart w:id="6" w:name="Seif3"/>
      <w:bookmarkEnd w:id="6"/>
      <w:r>
        <w:rPr>
          <w:rFonts w:cs="Miriam"/>
          <w:lang w:val="he-IL"/>
        </w:rPr>
        <w:pict>
          <v:rect id="_x0000_s1239" style="position:absolute;left:0;text-align:left;margin-left:464.35pt;margin-top:7.1pt;width:75.05pt;height:32.95pt;z-index:251650048" o:allowincell="f" filled="f" stroked="f" strokecolor="lime" strokeweight=".25pt">
            <v:textbox style="mso-next-textbox:#_x0000_s1239" inset="0,0,0,0">
              <w:txbxContent>
                <w:p w:rsidR="00017037" w:rsidRDefault="00017037">
                  <w:pPr>
                    <w:spacing w:line="160" w:lineRule="exact"/>
                    <w:rPr>
                      <w:rFonts w:cs="Miriam" w:hint="cs"/>
                      <w:noProof/>
                      <w:sz w:val="18"/>
                      <w:szCs w:val="18"/>
                      <w:rtl/>
                    </w:rPr>
                  </w:pPr>
                  <w:r>
                    <w:rPr>
                      <w:rFonts w:cs="Miriam" w:hint="cs"/>
                      <w:sz w:val="18"/>
                      <w:szCs w:val="18"/>
                      <w:rtl/>
                    </w:rPr>
                    <w:t>גירוש</w:t>
                  </w:r>
                </w:p>
                <w:p w:rsidR="00017037" w:rsidRDefault="00017037" w:rsidP="00A30844">
                  <w:pPr>
                    <w:spacing w:line="160" w:lineRule="exact"/>
                    <w:rPr>
                      <w:rFonts w:cs="Miriam" w:hint="cs"/>
                      <w:noProof/>
                      <w:sz w:val="18"/>
                      <w:szCs w:val="18"/>
                      <w:rtl/>
                    </w:rPr>
                  </w:pPr>
                  <w:r>
                    <w:rPr>
                      <w:rFonts w:cs="Miriam" w:hint="cs"/>
                      <w:sz w:val="18"/>
                      <w:szCs w:val="18"/>
                      <w:rtl/>
                    </w:rPr>
                    <w:t>תיקון מס' 2 (מס' 1650) תשס"ט-2009</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BC60EC">
        <w:rPr>
          <w:rStyle w:val="big-number"/>
          <w:rFonts w:cs="FrankRuehl" w:hint="cs"/>
          <w:sz w:val="26"/>
          <w:szCs w:val="26"/>
          <w:rtl/>
        </w:rPr>
        <w:t>(א)</w:t>
      </w:r>
      <w:r w:rsidR="00BC60EC">
        <w:rPr>
          <w:rStyle w:val="big-number"/>
          <w:rFonts w:cs="FrankRuehl" w:hint="cs"/>
          <w:sz w:val="26"/>
          <w:szCs w:val="26"/>
          <w:rtl/>
        </w:rPr>
        <w:tab/>
      </w:r>
      <w:r w:rsidR="007F58C4">
        <w:rPr>
          <w:rStyle w:val="big-number"/>
          <w:rFonts w:cs="FrankRuehl" w:hint="cs"/>
          <w:sz w:val="26"/>
          <w:szCs w:val="26"/>
          <w:rtl/>
        </w:rPr>
        <w:t>מפקד צבאי רשאי לצוות בכתב על גירושו של מסתנן מן האזור, בין שהואשם בעבירה לפי צו זה ובין שלא הואשם, וצו הגירוש ישמש אסמכתא חוקית להחזיק מסתנן כאמור במשמורת עד לגירושו</w:t>
      </w:r>
      <w:r w:rsidR="00A30844" w:rsidRPr="00A30844">
        <w:rPr>
          <w:rStyle w:val="big-number"/>
          <w:rFonts w:cs="FrankRuehl" w:hint="cs"/>
          <w:sz w:val="26"/>
          <w:szCs w:val="26"/>
          <w:rtl/>
        </w:rPr>
        <w:t>; לעניין ביצועו, יראו צו גירוש כפקודת מעצר שניתנה לפי סעיף 78 לצו בדבר הוראות בטחון (יהודה והשומרון) (מס' 378), התש"ל-1970, זאת, לרבות לצורך ביצוע המעצר בישראל, לפי סעיף 5(א)(1) לצו בדבר דרכי ענישה (יהודה והשומרון) (מס' 322), התשכ"ט-1969</w:t>
      </w:r>
      <w:r w:rsidR="007F58C4">
        <w:rPr>
          <w:rStyle w:val="big-number"/>
          <w:rFonts w:cs="FrankRuehl" w:hint="cs"/>
          <w:sz w:val="26"/>
          <w:szCs w:val="26"/>
          <w:rtl/>
        </w:rPr>
        <w:t>.</w:t>
      </w:r>
    </w:p>
    <w:p w:rsidR="00A30844" w:rsidRDefault="00A30844" w:rsidP="00A30844">
      <w:pPr>
        <w:pStyle w:val="P00"/>
        <w:spacing w:before="72"/>
        <w:ind w:left="0" w:right="1134"/>
        <w:rPr>
          <w:rStyle w:val="big-number"/>
          <w:rFonts w:cs="FrankRuehl" w:hint="cs"/>
          <w:sz w:val="26"/>
          <w:szCs w:val="26"/>
          <w:rtl/>
        </w:rPr>
      </w:pPr>
      <w:r>
        <w:rPr>
          <w:rFonts w:cs="FrankRuehl" w:hint="cs"/>
          <w:sz w:val="26"/>
          <w:rtl/>
          <w:lang w:eastAsia="en-US"/>
        </w:rPr>
        <w:pict>
          <v:shape id="_x0000_s1299" type="#_x0000_t202" style="position:absolute;left:0;text-align:left;margin-left:470.35pt;margin-top:7.1pt;width:1in;height:18pt;z-index:251663360" filled="f" stroked="f">
            <v:textbox inset="1mm,0,1mm,0">
              <w:txbxContent>
                <w:p w:rsidR="00017037" w:rsidRDefault="00017037" w:rsidP="00A30844">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Pr>
          <w:rStyle w:val="big-number"/>
          <w:rFonts w:cs="FrankRuehl" w:hint="cs"/>
          <w:sz w:val="26"/>
          <w:szCs w:val="26"/>
          <w:rtl/>
        </w:rPr>
        <w:tab/>
        <w:t>(</w:t>
      </w:r>
      <w:r w:rsidRPr="00A30844">
        <w:rPr>
          <w:rStyle w:val="big-number"/>
          <w:rFonts w:cs="FrankRuehl" w:hint="cs"/>
          <w:sz w:val="26"/>
          <w:szCs w:val="26"/>
          <w:rtl/>
        </w:rPr>
        <w:t>א1)</w:t>
      </w:r>
      <w:r w:rsidRPr="00A30844">
        <w:rPr>
          <w:rStyle w:val="big-number"/>
          <w:rFonts w:cs="FrankRuehl" w:hint="cs"/>
          <w:sz w:val="26"/>
          <w:szCs w:val="26"/>
          <w:rtl/>
        </w:rPr>
        <w:tab/>
        <w:t>לא יינתן צו גירוש לפי סעיף קטן (א) אלא לאחר שניתנה למסתנן הזדמנות לטעון את טענותיו בפני קצין צה"ל או בפני קצין משטרה, ולאחר שטענות המסתנן הובאו בפני המפקד הצבאי</w:t>
      </w:r>
      <w:r>
        <w:rPr>
          <w:rStyle w:val="big-number"/>
          <w:rFonts w:cs="FrankRuehl" w:hint="cs"/>
          <w:sz w:val="26"/>
          <w:szCs w:val="26"/>
          <w:rtl/>
        </w:rPr>
        <w:t>.</w:t>
      </w:r>
    </w:p>
    <w:p w:rsidR="00A30844" w:rsidRDefault="00A30844" w:rsidP="00A30844">
      <w:pPr>
        <w:pStyle w:val="P00"/>
        <w:spacing w:before="72"/>
        <w:ind w:left="0" w:right="1134"/>
        <w:rPr>
          <w:rStyle w:val="big-number"/>
          <w:rFonts w:cs="FrankRuehl" w:hint="cs"/>
          <w:sz w:val="26"/>
          <w:szCs w:val="26"/>
          <w:rtl/>
        </w:rPr>
      </w:pPr>
      <w:r w:rsidRPr="00A30844">
        <w:rPr>
          <w:rStyle w:val="big-number"/>
          <w:rFonts w:cs="FrankRuehl" w:hint="cs"/>
          <w:sz w:val="26"/>
          <w:szCs w:val="26"/>
          <w:rtl/>
        </w:rPr>
        <w:pict>
          <v:shape id="_x0000_s1300" type="#_x0000_t202" style="position:absolute;left:0;text-align:left;margin-left:470.35pt;margin-top:7.1pt;width:1in;height:18pt;z-index:251664384" filled="f" stroked="f">
            <v:textbox inset="1mm,0,1mm,0">
              <w:txbxContent>
                <w:p w:rsidR="00017037" w:rsidRDefault="00017037" w:rsidP="00A30844">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Pr>
          <w:rStyle w:val="big-number"/>
          <w:rFonts w:cs="FrankRuehl" w:hint="cs"/>
          <w:sz w:val="26"/>
          <w:szCs w:val="26"/>
          <w:rtl/>
        </w:rPr>
        <w:tab/>
        <w:t>(</w:t>
      </w:r>
      <w:r w:rsidRPr="00A30844">
        <w:rPr>
          <w:rStyle w:val="big-number"/>
          <w:rFonts w:cs="FrankRuehl" w:hint="cs"/>
          <w:sz w:val="26"/>
          <w:szCs w:val="26"/>
          <w:rtl/>
        </w:rPr>
        <w:t>א2)</w:t>
      </w:r>
      <w:r w:rsidRPr="00A30844">
        <w:rPr>
          <w:rStyle w:val="big-number"/>
          <w:rFonts w:cs="FrankRuehl" w:hint="cs"/>
          <w:sz w:val="26"/>
          <w:szCs w:val="26"/>
          <w:rtl/>
        </w:rPr>
        <w:tab/>
        <w:t>ניתן צו גירוש לפי סעיף קטן (א), יגורש המסתנן מהאזור בהקדם האפשרי, אלא אם כן יצא מהאזור מרצונו החופשי קודם לכן</w:t>
      </w:r>
      <w:r>
        <w:rPr>
          <w:rStyle w:val="big-number"/>
          <w:rFonts w:cs="FrankRuehl" w:hint="cs"/>
          <w:sz w:val="26"/>
          <w:szCs w:val="26"/>
          <w:rtl/>
        </w:rPr>
        <w:t>.</w:t>
      </w:r>
    </w:p>
    <w:p w:rsidR="00A30844" w:rsidRDefault="00A30844" w:rsidP="00A30844">
      <w:pPr>
        <w:pStyle w:val="P00"/>
        <w:spacing w:before="72"/>
        <w:ind w:left="0" w:right="1134"/>
        <w:rPr>
          <w:rStyle w:val="big-number"/>
          <w:rFonts w:cs="FrankRuehl" w:hint="cs"/>
          <w:sz w:val="26"/>
          <w:szCs w:val="26"/>
          <w:rtl/>
        </w:rPr>
      </w:pPr>
      <w:r w:rsidRPr="00A30844">
        <w:rPr>
          <w:rStyle w:val="big-number"/>
          <w:rFonts w:cs="FrankRuehl" w:hint="cs"/>
          <w:sz w:val="26"/>
          <w:szCs w:val="26"/>
          <w:rtl/>
        </w:rPr>
        <w:pict>
          <v:shape id="_x0000_s1298" type="#_x0000_t202" style="position:absolute;left:0;text-align:left;margin-left:470.35pt;margin-top:7.1pt;width:1in;height:18pt;z-index:251662336" filled="f" stroked="f">
            <v:textbox inset="1mm,0,1mm,0">
              <w:txbxContent>
                <w:p w:rsidR="00017037" w:rsidRDefault="00017037" w:rsidP="00A30844">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Pr>
          <w:rStyle w:val="big-number"/>
          <w:rFonts w:cs="FrankRuehl" w:hint="cs"/>
          <w:sz w:val="26"/>
          <w:szCs w:val="26"/>
          <w:rtl/>
        </w:rPr>
        <w:tab/>
        <w:t>(</w:t>
      </w:r>
      <w:r w:rsidRPr="00A30844">
        <w:rPr>
          <w:rStyle w:val="big-number"/>
          <w:rFonts w:cs="FrankRuehl" w:hint="cs"/>
          <w:sz w:val="26"/>
          <w:szCs w:val="26"/>
          <w:rtl/>
        </w:rPr>
        <w:t>א3)</w:t>
      </w:r>
      <w:r w:rsidRPr="00A30844">
        <w:rPr>
          <w:rStyle w:val="big-number"/>
          <w:rFonts w:cs="FrankRuehl" w:hint="cs"/>
          <w:sz w:val="26"/>
          <w:szCs w:val="26"/>
          <w:rtl/>
        </w:rPr>
        <w:tab/>
        <w:t>ניתן צו גירוש לפי סעיף קטן (א), יימסר למסתנן, בכתב או בעל פה, ככל האפשר, בשפה המובנת לו, מידע על זכויותיו לפי צו זה, וכן על זכותו, כי תימסר הודעה על החזקתו במשמורת לאדם קרוב לו ולעורך דין</w:t>
      </w:r>
      <w:r>
        <w:rPr>
          <w:rStyle w:val="big-number"/>
          <w:rFonts w:cs="FrankRuehl" w:hint="cs"/>
          <w:sz w:val="26"/>
          <w:szCs w:val="26"/>
          <w:rtl/>
        </w:rPr>
        <w:t>.</w:t>
      </w:r>
    </w:p>
    <w:p w:rsidR="007F58C4" w:rsidRDefault="00BA5414" w:rsidP="007F58C4">
      <w:pPr>
        <w:pStyle w:val="P00"/>
        <w:spacing w:before="72"/>
        <w:ind w:left="0" w:right="1134"/>
        <w:rPr>
          <w:rStyle w:val="big-number"/>
          <w:rFonts w:cs="FrankRuehl" w:hint="cs"/>
          <w:sz w:val="26"/>
          <w:szCs w:val="26"/>
          <w:rtl/>
        </w:rPr>
      </w:pPr>
      <w:r>
        <w:rPr>
          <w:rFonts w:cs="FrankRuehl" w:hint="cs"/>
          <w:sz w:val="26"/>
          <w:rtl/>
          <w:lang w:eastAsia="en-US"/>
        </w:rPr>
        <w:pict>
          <v:shape id="_x0000_s1291" type="#_x0000_t202" style="position:absolute;left:0;text-align:left;margin-left:470.35pt;margin-top:7.1pt;width:1in;height:18pt;z-index:251658240" filled="f" stroked="f">
            <v:textbox inset="1mm,0,1mm,0">
              <w:txbxContent>
                <w:p w:rsidR="00017037" w:rsidRDefault="00017037" w:rsidP="00BA5414">
                  <w:pPr>
                    <w:spacing w:line="160" w:lineRule="exact"/>
                    <w:rPr>
                      <w:rFonts w:cs="Miriam" w:hint="cs"/>
                      <w:noProof/>
                      <w:sz w:val="18"/>
                      <w:szCs w:val="18"/>
                      <w:rtl/>
                    </w:rPr>
                  </w:pPr>
                  <w:r>
                    <w:rPr>
                      <w:rFonts w:cs="Miriam" w:hint="cs"/>
                      <w:sz w:val="18"/>
                      <w:szCs w:val="18"/>
                      <w:rtl/>
                    </w:rPr>
                    <w:t>תיקון מס' 1 (מס' 831) תש"ם-1980</w:t>
                  </w:r>
                </w:p>
              </w:txbxContent>
            </v:textbox>
            <w10:anchorlock/>
          </v:shape>
        </w:pict>
      </w:r>
      <w:r w:rsidR="007F58C4">
        <w:rPr>
          <w:rStyle w:val="big-number"/>
          <w:rFonts w:cs="FrankRuehl" w:hint="cs"/>
          <w:sz w:val="26"/>
          <w:szCs w:val="26"/>
          <w:rtl/>
        </w:rPr>
        <w:tab/>
        <w:t>(ב)</w:t>
      </w:r>
      <w:r w:rsidR="007F58C4">
        <w:rPr>
          <w:rStyle w:val="big-number"/>
          <w:rFonts w:cs="FrankRuehl" w:hint="cs"/>
          <w:sz w:val="26"/>
          <w:szCs w:val="26"/>
          <w:rtl/>
        </w:rPr>
        <w:tab/>
        <w:t>ניתן צו גירוש לפי סעיף קטן (א) והאדם שנגדו הוצא צו גירוש נמצא מסיבה כלשהיא במעצר או מאסר, ישוחרר אותו אדם ממעצרו או ממאסרו לשם ביצוע הגירוש, אף אם לא תמה תקופת המעצר או המאסר</w:t>
      </w:r>
      <w:r>
        <w:rPr>
          <w:rStyle w:val="big-number"/>
          <w:rFonts w:cs="FrankRuehl" w:hint="cs"/>
          <w:sz w:val="26"/>
          <w:szCs w:val="26"/>
          <w:rtl/>
        </w:rPr>
        <w:t>, אלא אם נקבע אחרת בצו הגירוש</w:t>
      </w:r>
      <w:r w:rsidR="007F58C4">
        <w:rPr>
          <w:rStyle w:val="big-number"/>
          <w:rFonts w:cs="FrankRuehl" w:hint="cs"/>
          <w:sz w:val="26"/>
          <w:szCs w:val="26"/>
          <w:rtl/>
        </w:rPr>
        <w:t>.</w:t>
      </w:r>
    </w:p>
    <w:p w:rsidR="00A30844" w:rsidRDefault="00A30844" w:rsidP="00A30844">
      <w:pPr>
        <w:pStyle w:val="P00"/>
        <w:spacing w:before="72"/>
        <w:ind w:left="0" w:right="1134"/>
        <w:rPr>
          <w:rStyle w:val="big-number"/>
          <w:rFonts w:cs="FrankRuehl" w:hint="cs"/>
          <w:sz w:val="26"/>
          <w:szCs w:val="26"/>
          <w:rtl/>
        </w:rPr>
      </w:pPr>
      <w:r w:rsidRPr="00A30844">
        <w:rPr>
          <w:rStyle w:val="big-number"/>
          <w:rFonts w:cs="FrankRuehl" w:hint="cs"/>
          <w:sz w:val="26"/>
          <w:szCs w:val="26"/>
          <w:rtl/>
        </w:rPr>
        <w:pict>
          <v:shape id="_x0000_s1301" type="#_x0000_t202" style="position:absolute;left:0;text-align:left;margin-left:470.35pt;margin-top:7.1pt;width:1in;height:18pt;z-index:251665408" filled="f" stroked="f">
            <v:textbox inset="1mm,0,1mm,0">
              <w:txbxContent>
                <w:p w:rsidR="00017037" w:rsidRDefault="00017037" w:rsidP="00A30844">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Pr>
          <w:rStyle w:val="big-number"/>
          <w:rFonts w:cs="FrankRuehl" w:hint="cs"/>
          <w:sz w:val="26"/>
          <w:szCs w:val="26"/>
          <w:rtl/>
        </w:rPr>
        <w:tab/>
        <w:t>(</w:t>
      </w:r>
      <w:r w:rsidRPr="00A30844">
        <w:rPr>
          <w:rStyle w:val="big-number"/>
          <w:rFonts w:cs="FrankRuehl" w:hint="cs"/>
          <w:sz w:val="26"/>
          <w:szCs w:val="26"/>
          <w:rtl/>
        </w:rPr>
        <w:t>ג)</w:t>
      </w:r>
      <w:r w:rsidRPr="00A30844">
        <w:rPr>
          <w:rStyle w:val="big-number"/>
          <w:rFonts w:cs="FrankRuehl" w:hint="cs"/>
          <w:sz w:val="26"/>
          <w:szCs w:val="26"/>
          <w:rtl/>
        </w:rPr>
        <w:tab/>
        <w:t>ניתן צו גירוש לפי סעיף קטן (א), לא יגורש המסתנן, אלא אם חלפו 72 שעות מהמועד שנמסר לו צו הגירוש בכתב, זולת אם הסכים לכך; ורשאי המפקד הצבאי, לפי בקשתו של מי שניתן נגדו צו הרחקה, לדחות את מועד ביצוע ההרחקה</w:t>
      </w:r>
      <w:r>
        <w:rPr>
          <w:rStyle w:val="big-number"/>
          <w:rFonts w:cs="FrankRuehl" w:hint="cs"/>
          <w:sz w:val="26"/>
          <w:szCs w:val="26"/>
          <w:rtl/>
        </w:rPr>
        <w:t>.</w:t>
      </w:r>
    </w:p>
    <w:p w:rsidR="00A30844" w:rsidRDefault="00A30844" w:rsidP="00A30844">
      <w:pPr>
        <w:pStyle w:val="P00"/>
        <w:spacing w:before="72"/>
        <w:ind w:left="0" w:right="1134"/>
        <w:rPr>
          <w:rStyle w:val="big-number"/>
          <w:rFonts w:cs="FrankRuehl" w:hint="cs"/>
          <w:sz w:val="26"/>
          <w:szCs w:val="26"/>
          <w:rtl/>
        </w:rPr>
      </w:pPr>
      <w:r w:rsidRPr="00A30844">
        <w:rPr>
          <w:rStyle w:val="big-number"/>
          <w:rFonts w:cs="FrankRuehl" w:hint="cs"/>
          <w:sz w:val="26"/>
          <w:szCs w:val="26"/>
          <w:rtl/>
        </w:rPr>
        <w:pict>
          <v:shape id="_x0000_s1302" type="#_x0000_t202" style="position:absolute;left:0;text-align:left;margin-left:470.35pt;margin-top:7.1pt;width:1in;height:18pt;z-index:251666432" filled="f" stroked="f">
            <v:textbox inset="1mm,0,1mm,0">
              <w:txbxContent>
                <w:p w:rsidR="00017037" w:rsidRDefault="00017037" w:rsidP="00A30844">
                  <w:pPr>
                    <w:spacing w:line="160" w:lineRule="exact"/>
                    <w:rPr>
                      <w:rFonts w:cs="Miriam" w:hint="cs"/>
                      <w:noProof/>
                      <w:sz w:val="18"/>
                      <w:szCs w:val="18"/>
                      <w:rtl/>
                    </w:rPr>
                  </w:pPr>
                  <w:r>
                    <w:rPr>
                      <w:rFonts w:cs="Miriam" w:hint="cs"/>
                      <w:sz w:val="18"/>
                      <w:szCs w:val="18"/>
                      <w:rtl/>
                    </w:rPr>
                    <w:t>תיקון מס' 2 (מס' 1650) תשס"ט-2009</w:t>
                  </w:r>
                </w:p>
              </w:txbxContent>
            </v:textbox>
            <w10:anchorlock/>
          </v:shape>
        </w:pict>
      </w:r>
      <w:r>
        <w:rPr>
          <w:rStyle w:val="big-number"/>
          <w:rFonts w:cs="FrankRuehl" w:hint="cs"/>
          <w:sz w:val="26"/>
          <w:szCs w:val="26"/>
          <w:rtl/>
        </w:rPr>
        <w:tab/>
        <w:t>(</w:t>
      </w:r>
      <w:r w:rsidRPr="00A30844">
        <w:rPr>
          <w:rStyle w:val="big-number"/>
          <w:rFonts w:cs="FrankRuehl" w:hint="cs"/>
          <w:sz w:val="26"/>
          <w:szCs w:val="26"/>
          <w:rtl/>
        </w:rPr>
        <w:t>ד)</w:t>
      </w:r>
      <w:r w:rsidRPr="00A30844">
        <w:rPr>
          <w:rStyle w:val="big-number"/>
          <w:rFonts w:cs="FrankRuehl" w:hint="cs"/>
          <w:sz w:val="26"/>
          <w:szCs w:val="26"/>
          <w:rtl/>
        </w:rPr>
        <w:tab/>
        <w:t xml:space="preserve">על אף האמור בסעיף קטן (ג), אם נוכח המפקד הצבאי, כי המסתנן נכנס לאזור לא מכבר, רשאי הוא להורות על גירושו אף בטרם חלפו 72 שעות מהמועד שנמסר לו צו הגירוש בכתב, ובלבד שהמסתנן יגורש למדינה או לאזור שמהם הסתנן וכי הדבר יעשה בטרם חלפו 72 </w:t>
      </w:r>
      <w:r w:rsidRPr="00A30844">
        <w:rPr>
          <w:rStyle w:val="big-number"/>
          <w:rFonts w:cs="FrankRuehl" w:hint="cs"/>
          <w:sz w:val="26"/>
          <w:szCs w:val="26"/>
          <w:rtl/>
        </w:rPr>
        <w:lastRenderedPageBreak/>
        <w:t>שעות מהמועד שבו היה לחייל או לשוטר יסוד סביר לחשד כי אותו אדם הסתנן לאזור</w:t>
      </w:r>
      <w:r>
        <w:rPr>
          <w:rStyle w:val="big-number"/>
          <w:rFonts w:cs="FrankRuehl" w:hint="cs"/>
          <w:sz w:val="26"/>
          <w:szCs w:val="26"/>
          <w:rtl/>
        </w:rPr>
        <w:t>.</w:t>
      </w:r>
    </w:p>
    <w:p w:rsidR="00BA5414" w:rsidRPr="006836D9" w:rsidRDefault="00BA5414" w:rsidP="00BA5414">
      <w:pPr>
        <w:pStyle w:val="P00"/>
        <w:spacing w:before="0"/>
        <w:ind w:left="0" w:right="1134"/>
        <w:rPr>
          <w:rStyle w:val="big-number"/>
          <w:rFonts w:cs="FrankRuehl" w:hint="cs"/>
          <w:vanish/>
          <w:color w:val="FF0000"/>
          <w:sz w:val="20"/>
          <w:szCs w:val="20"/>
          <w:shd w:val="clear" w:color="auto" w:fill="FFFF99"/>
          <w:rtl/>
        </w:rPr>
      </w:pPr>
      <w:bookmarkStart w:id="7" w:name="Rov7"/>
      <w:r w:rsidRPr="006836D9">
        <w:rPr>
          <w:rStyle w:val="big-number"/>
          <w:rFonts w:cs="FrankRuehl" w:hint="cs"/>
          <w:vanish/>
          <w:color w:val="FF0000"/>
          <w:sz w:val="20"/>
          <w:szCs w:val="20"/>
          <w:shd w:val="clear" w:color="auto" w:fill="FFFF99"/>
          <w:rtl/>
        </w:rPr>
        <w:t>מיום 18.3.1980</w:t>
      </w:r>
    </w:p>
    <w:p w:rsidR="00BA5414" w:rsidRPr="006836D9" w:rsidRDefault="00BA5414" w:rsidP="00BA5414">
      <w:pPr>
        <w:pStyle w:val="P00"/>
        <w:spacing w:before="0"/>
        <w:ind w:left="0" w:right="1134"/>
        <w:rPr>
          <w:rStyle w:val="big-number"/>
          <w:rFonts w:cs="FrankRuehl" w:hint="cs"/>
          <w:vanish/>
          <w:sz w:val="20"/>
          <w:szCs w:val="20"/>
          <w:shd w:val="clear" w:color="auto" w:fill="FFFF99"/>
          <w:rtl/>
        </w:rPr>
      </w:pPr>
      <w:r w:rsidRPr="006836D9">
        <w:rPr>
          <w:rStyle w:val="big-number"/>
          <w:rFonts w:cs="FrankRuehl" w:hint="cs"/>
          <w:b/>
          <w:bCs/>
          <w:vanish/>
          <w:sz w:val="20"/>
          <w:szCs w:val="20"/>
          <w:shd w:val="clear" w:color="auto" w:fill="FFFF99"/>
          <w:rtl/>
        </w:rPr>
        <w:t>תיקון מס' 1 (מס' 831) תש"ם-1980</w:t>
      </w:r>
    </w:p>
    <w:p w:rsidR="00BA5414" w:rsidRPr="006836D9" w:rsidRDefault="00BA5414" w:rsidP="00BA5414">
      <w:pPr>
        <w:pStyle w:val="P00"/>
        <w:spacing w:before="0"/>
        <w:ind w:left="0" w:right="1134"/>
        <w:rPr>
          <w:rStyle w:val="big-number"/>
          <w:rFonts w:cs="FrankRuehl" w:hint="cs"/>
          <w:vanish/>
          <w:sz w:val="20"/>
          <w:szCs w:val="20"/>
          <w:shd w:val="clear" w:color="auto" w:fill="FFFF99"/>
          <w:rtl/>
        </w:rPr>
      </w:pPr>
      <w:hyperlink r:id="rId11" w:history="1">
        <w:r w:rsidRPr="006836D9">
          <w:rPr>
            <w:rStyle w:val="Hyperlink"/>
            <w:rFonts w:cs="FrankRuehl" w:hint="cs"/>
            <w:vanish/>
            <w:szCs w:val="20"/>
            <w:shd w:val="clear" w:color="auto" w:fill="FFFF99"/>
            <w:rtl/>
          </w:rPr>
          <w:t>קובץ המנשרים מס' 46</w:t>
        </w:r>
      </w:hyperlink>
      <w:r w:rsidRPr="006836D9">
        <w:rPr>
          <w:rStyle w:val="big-number"/>
          <w:rFonts w:cs="FrankRuehl" w:hint="cs"/>
          <w:vanish/>
          <w:sz w:val="20"/>
          <w:szCs w:val="20"/>
          <w:shd w:val="clear" w:color="auto" w:fill="FFFF99"/>
          <w:rtl/>
        </w:rPr>
        <w:t xml:space="preserve"> מיום 31.8.1981 עמ' 320</w:t>
      </w:r>
    </w:p>
    <w:p w:rsidR="00BA5414" w:rsidRPr="006836D9" w:rsidRDefault="00BA5414" w:rsidP="00BA5414">
      <w:pPr>
        <w:pStyle w:val="P00"/>
        <w:ind w:left="0" w:right="1134"/>
        <w:rPr>
          <w:rStyle w:val="big-number"/>
          <w:rFonts w:cs="FrankRuehl" w:hint="cs"/>
          <w:vanish/>
          <w:sz w:val="22"/>
          <w:szCs w:val="22"/>
          <w:shd w:val="clear" w:color="auto" w:fill="FFFF99"/>
          <w:rtl/>
        </w:rPr>
      </w:pPr>
      <w:r w:rsidRPr="006836D9">
        <w:rPr>
          <w:rStyle w:val="big-number"/>
          <w:rFonts w:cs="FrankRuehl" w:hint="cs"/>
          <w:vanish/>
          <w:sz w:val="22"/>
          <w:szCs w:val="22"/>
          <w:shd w:val="clear" w:color="auto" w:fill="FFFF99"/>
          <w:rtl/>
        </w:rPr>
        <w:tab/>
        <w:t>(ב)</w:t>
      </w:r>
      <w:r w:rsidRPr="006836D9">
        <w:rPr>
          <w:rStyle w:val="big-number"/>
          <w:rFonts w:cs="FrankRuehl" w:hint="cs"/>
          <w:vanish/>
          <w:sz w:val="22"/>
          <w:szCs w:val="22"/>
          <w:shd w:val="clear" w:color="auto" w:fill="FFFF99"/>
          <w:rtl/>
        </w:rPr>
        <w:tab/>
        <w:t>ניתן צו גירוש לפי סעיף קטן (א) והאדם שנגדו הוצא צו גירוש נמצא מסיבה כלשהיא במעצר או מאסר, ישוחרר אותו אדם ממעצרו או ממאסרו לשם ביצוע הגירוש, אף אם לא תמה תקופת המעצר או המאסר</w:t>
      </w:r>
      <w:r w:rsidRPr="006836D9">
        <w:rPr>
          <w:rStyle w:val="big-number"/>
          <w:rFonts w:cs="FrankRuehl" w:hint="cs"/>
          <w:vanish/>
          <w:sz w:val="22"/>
          <w:szCs w:val="22"/>
          <w:u w:val="single"/>
          <w:shd w:val="clear" w:color="auto" w:fill="FFFF99"/>
          <w:rtl/>
        </w:rPr>
        <w:t>, אלא אם נקבע אחרת בצו הגירוש</w:t>
      </w:r>
      <w:r w:rsidRPr="006836D9">
        <w:rPr>
          <w:rStyle w:val="big-number"/>
          <w:rFonts w:cs="FrankRuehl" w:hint="cs"/>
          <w:vanish/>
          <w:sz w:val="22"/>
          <w:szCs w:val="22"/>
          <w:shd w:val="clear" w:color="auto" w:fill="FFFF99"/>
          <w:rtl/>
        </w:rPr>
        <w:t>.</w:t>
      </w:r>
    </w:p>
    <w:p w:rsidR="00F74F5E" w:rsidRPr="006836D9" w:rsidRDefault="00F74F5E" w:rsidP="00F74F5E">
      <w:pPr>
        <w:pStyle w:val="P00"/>
        <w:spacing w:before="0"/>
        <w:ind w:left="0" w:right="1134"/>
        <w:rPr>
          <w:rStyle w:val="big-number"/>
          <w:rFonts w:cs="FrankRuehl" w:hint="cs"/>
          <w:vanish/>
          <w:sz w:val="20"/>
          <w:szCs w:val="20"/>
          <w:shd w:val="clear" w:color="auto" w:fill="FFFF99"/>
          <w:rtl/>
        </w:rPr>
      </w:pPr>
    </w:p>
    <w:p w:rsidR="00F74F5E" w:rsidRPr="006836D9" w:rsidRDefault="00F74F5E" w:rsidP="00F74F5E">
      <w:pPr>
        <w:pStyle w:val="P00"/>
        <w:spacing w:before="0"/>
        <w:ind w:left="0" w:right="1134"/>
        <w:rPr>
          <w:rStyle w:val="default"/>
          <w:rFonts w:cs="FrankRuehl" w:hint="cs"/>
          <w:vanish/>
          <w:color w:val="FF0000"/>
          <w:sz w:val="20"/>
          <w:szCs w:val="20"/>
          <w:shd w:val="clear" w:color="auto" w:fill="FFFF99"/>
          <w:rtl/>
        </w:rPr>
      </w:pPr>
      <w:r w:rsidRPr="006836D9">
        <w:rPr>
          <w:rStyle w:val="default"/>
          <w:rFonts w:cs="FrankRuehl" w:hint="cs"/>
          <w:vanish/>
          <w:color w:val="FF0000"/>
          <w:sz w:val="20"/>
          <w:szCs w:val="20"/>
          <w:shd w:val="clear" w:color="auto" w:fill="FFFF99"/>
          <w:rtl/>
        </w:rPr>
        <w:t>מיום 13.4.2010</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F74F5E" w:rsidRPr="006836D9" w:rsidRDefault="00F74F5E" w:rsidP="00F74F5E">
      <w:pPr>
        <w:pStyle w:val="P00"/>
        <w:spacing w:before="0"/>
        <w:ind w:left="0" w:right="1134"/>
        <w:rPr>
          <w:rStyle w:val="default"/>
          <w:rFonts w:cs="FrankRuehl" w:hint="cs"/>
          <w:vanish/>
          <w:sz w:val="20"/>
          <w:szCs w:val="20"/>
          <w:shd w:val="clear" w:color="auto" w:fill="FFFF99"/>
          <w:rtl/>
        </w:rPr>
      </w:pPr>
      <w:hyperlink r:id="rId12"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5843</w:t>
      </w:r>
    </w:p>
    <w:p w:rsidR="00F74F5E" w:rsidRPr="006836D9" w:rsidRDefault="00F74F5E" w:rsidP="00F74F5E">
      <w:pPr>
        <w:pStyle w:val="P00"/>
        <w:ind w:left="0" w:right="1134"/>
        <w:rPr>
          <w:rStyle w:val="big-number"/>
          <w:rFonts w:cs="FrankRuehl" w:hint="cs"/>
          <w:vanish/>
          <w:sz w:val="22"/>
          <w:szCs w:val="22"/>
          <w:shd w:val="clear" w:color="auto" w:fill="FFFF99"/>
          <w:rtl/>
        </w:rPr>
      </w:pPr>
      <w:r w:rsidRPr="006836D9">
        <w:rPr>
          <w:rStyle w:val="big-number"/>
          <w:rFonts w:cs="FrankRuehl" w:hint="cs"/>
          <w:vanish/>
          <w:sz w:val="22"/>
          <w:szCs w:val="22"/>
          <w:shd w:val="clear" w:color="auto" w:fill="FFFF99"/>
          <w:rtl/>
        </w:rPr>
        <w:t>3</w:t>
      </w:r>
      <w:r w:rsidRPr="006836D9">
        <w:rPr>
          <w:rStyle w:val="big-number"/>
          <w:rFonts w:cs="FrankRuehl"/>
          <w:vanish/>
          <w:sz w:val="22"/>
          <w:szCs w:val="22"/>
          <w:shd w:val="clear" w:color="auto" w:fill="FFFF99"/>
          <w:rtl/>
        </w:rPr>
        <w:t>.</w:t>
      </w:r>
      <w:r w:rsidRPr="006836D9">
        <w:rPr>
          <w:rStyle w:val="big-number"/>
          <w:rFonts w:cs="FrankRuehl"/>
          <w:vanish/>
          <w:sz w:val="22"/>
          <w:szCs w:val="22"/>
          <w:shd w:val="clear" w:color="auto" w:fill="FFFF99"/>
          <w:rtl/>
        </w:rPr>
        <w:tab/>
      </w:r>
      <w:r w:rsidRPr="006836D9">
        <w:rPr>
          <w:rStyle w:val="big-number"/>
          <w:rFonts w:cs="FrankRuehl" w:hint="cs"/>
          <w:vanish/>
          <w:sz w:val="22"/>
          <w:szCs w:val="22"/>
          <w:shd w:val="clear" w:color="auto" w:fill="FFFF99"/>
          <w:rtl/>
        </w:rPr>
        <w:t>(א)</w:t>
      </w:r>
      <w:r w:rsidRPr="006836D9">
        <w:rPr>
          <w:rStyle w:val="big-number"/>
          <w:rFonts w:cs="FrankRuehl" w:hint="cs"/>
          <w:vanish/>
          <w:sz w:val="22"/>
          <w:szCs w:val="22"/>
          <w:shd w:val="clear" w:color="auto" w:fill="FFFF99"/>
          <w:rtl/>
        </w:rPr>
        <w:tab/>
        <w:t>מפקד צבאי רשאי לצוות בכתב על גירושו של מסתנן מן האזור, בין שהואשם בעבירה לפי צו זה ובין שלא הואשם, וצו הגירוש ישמש אסמכתא חוקית להחזיק מסתנן כאמור במשמורת עד לגירושו</w:t>
      </w:r>
      <w:r w:rsidRPr="006836D9">
        <w:rPr>
          <w:rStyle w:val="big-number"/>
          <w:rFonts w:cs="FrankRuehl" w:hint="cs"/>
          <w:vanish/>
          <w:sz w:val="22"/>
          <w:szCs w:val="22"/>
          <w:u w:val="single"/>
          <w:shd w:val="clear" w:color="auto" w:fill="FFFF99"/>
          <w:rtl/>
        </w:rPr>
        <w:t>; לעניין ביצועו, יראו צו גירוש כפקודת מעצר שניתנה לפי סעיף 78 לצו בדבר הוראות בטחון (יהודה והשומרון) (מס' 378), התש"ל-1970, זאת, לרבות לצורך ביצוע המעצר בישראל, לפי סעיף 5(א)(1) לצו בדבר דרכי ענישה (יהודה והשומרון) (מס' 322), התשכ"ט-1969</w:t>
      </w:r>
      <w:r w:rsidRPr="006836D9">
        <w:rPr>
          <w:rStyle w:val="big-number"/>
          <w:rFonts w:cs="FrankRuehl" w:hint="cs"/>
          <w:vanish/>
          <w:sz w:val="22"/>
          <w:szCs w:val="22"/>
          <w:shd w:val="clear" w:color="auto" w:fill="FFFF99"/>
          <w:rtl/>
        </w:rPr>
        <w:t>.</w:t>
      </w:r>
    </w:p>
    <w:p w:rsidR="00F74F5E" w:rsidRPr="006836D9" w:rsidRDefault="00F74F5E" w:rsidP="00F74F5E">
      <w:pPr>
        <w:pStyle w:val="P00"/>
        <w:spacing w:before="0"/>
        <w:ind w:left="0" w:right="1134"/>
        <w:rPr>
          <w:rStyle w:val="big-number"/>
          <w:rFonts w:cs="FrankRuehl" w:hint="cs"/>
          <w:vanish/>
          <w:sz w:val="22"/>
          <w:szCs w:val="22"/>
          <w:shd w:val="clear" w:color="auto" w:fill="FFFF99"/>
          <w:rtl/>
        </w:rPr>
      </w:pPr>
      <w:r w:rsidRPr="006836D9">
        <w:rPr>
          <w:rStyle w:val="big-number"/>
          <w:rFonts w:cs="FrankRuehl" w:hint="cs"/>
          <w:vanish/>
          <w:sz w:val="22"/>
          <w:szCs w:val="22"/>
          <w:shd w:val="clear" w:color="auto" w:fill="FFFF99"/>
          <w:rtl/>
        </w:rPr>
        <w:tab/>
      </w:r>
      <w:r w:rsidRPr="006836D9">
        <w:rPr>
          <w:rStyle w:val="big-number"/>
          <w:rFonts w:cs="FrankRuehl" w:hint="cs"/>
          <w:vanish/>
          <w:sz w:val="22"/>
          <w:szCs w:val="22"/>
          <w:u w:val="single"/>
          <w:shd w:val="clear" w:color="auto" w:fill="FFFF99"/>
          <w:rtl/>
        </w:rPr>
        <w:t>(א1)</w:t>
      </w:r>
      <w:r w:rsidRPr="006836D9">
        <w:rPr>
          <w:rStyle w:val="big-number"/>
          <w:rFonts w:cs="FrankRuehl" w:hint="cs"/>
          <w:vanish/>
          <w:sz w:val="22"/>
          <w:szCs w:val="22"/>
          <w:u w:val="single"/>
          <w:shd w:val="clear" w:color="auto" w:fill="FFFF99"/>
          <w:rtl/>
        </w:rPr>
        <w:tab/>
      </w:r>
      <w:r w:rsidR="009E1B59" w:rsidRPr="006836D9">
        <w:rPr>
          <w:rStyle w:val="big-number"/>
          <w:rFonts w:cs="FrankRuehl" w:hint="cs"/>
          <w:vanish/>
          <w:sz w:val="22"/>
          <w:szCs w:val="22"/>
          <w:u w:val="single"/>
          <w:shd w:val="clear" w:color="auto" w:fill="FFFF99"/>
          <w:rtl/>
        </w:rPr>
        <w:t>לא יינתן צו גירוש לפי סעיף קטן (א) אלא לאחר שניתנה למסתנן הזדמנות לטעון את טענותיו בפני קצין צה"ל או בפני קצין משטרה, ולאחר שטענות המסתנן הובאו בפני המפקד הצבאי.</w:t>
      </w:r>
    </w:p>
    <w:p w:rsidR="009E1B59" w:rsidRPr="006836D9" w:rsidRDefault="009E1B59" w:rsidP="00F74F5E">
      <w:pPr>
        <w:pStyle w:val="P00"/>
        <w:spacing w:before="0"/>
        <w:ind w:left="0" w:right="1134"/>
        <w:rPr>
          <w:rStyle w:val="big-number"/>
          <w:rFonts w:cs="FrankRuehl" w:hint="cs"/>
          <w:vanish/>
          <w:sz w:val="22"/>
          <w:szCs w:val="22"/>
          <w:shd w:val="clear" w:color="auto" w:fill="FFFF99"/>
          <w:rtl/>
        </w:rPr>
      </w:pPr>
      <w:r w:rsidRPr="006836D9">
        <w:rPr>
          <w:rStyle w:val="big-number"/>
          <w:rFonts w:cs="FrankRuehl" w:hint="cs"/>
          <w:vanish/>
          <w:sz w:val="22"/>
          <w:szCs w:val="22"/>
          <w:shd w:val="clear" w:color="auto" w:fill="FFFF99"/>
          <w:rtl/>
        </w:rPr>
        <w:tab/>
      </w:r>
      <w:r w:rsidRPr="006836D9">
        <w:rPr>
          <w:rStyle w:val="big-number"/>
          <w:rFonts w:cs="FrankRuehl" w:hint="cs"/>
          <w:vanish/>
          <w:sz w:val="22"/>
          <w:szCs w:val="22"/>
          <w:u w:val="single"/>
          <w:shd w:val="clear" w:color="auto" w:fill="FFFF99"/>
          <w:rtl/>
        </w:rPr>
        <w:t>(א2)</w:t>
      </w:r>
      <w:r w:rsidRPr="006836D9">
        <w:rPr>
          <w:rStyle w:val="big-number"/>
          <w:rFonts w:cs="FrankRuehl" w:hint="cs"/>
          <w:vanish/>
          <w:sz w:val="22"/>
          <w:szCs w:val="22"/>
          <w:u w:val="single"/>
          <w:shd w:val="clear" w:color="auto" w:fill="FFFF99"/>
          <w:rtl/>
        </w:rPr>
        <w:tab/>
        <w:t>ניתן צו גירוש לפי סעיף קטן (א), יגורש המסתנן מהאזור בהקדם האפשרי, אלא אם כן יצא מהאזור מרצונו החופשי קודם לכן.</w:t>
      </w:r>
    </w:p>
    <w:p w:rsidR="009E1B59" w:rsidRPr="006836D9" w:rsidRDefault="009E1B59" w:rsidP="00F74F5E">
      <w:pPr>
        <w:pStyle w:val="P00"/>
        <w:spacing w:before="0"/>
        <w:ind w:left="0" w:right="1134"/>
        <w:rPr>
          <w:rStyle w:val="big-number"/>
          <w:rFonts w:cs="FrankRuehl" w:hint="cs"/>
          <w:vanish/>
          <w:sz w:val="22"/>
          <w:szCs w:val="22"/>
          <w:shd w:val="clear" w:color="auto" w:fill="FFFF99"/>
          <w:rtl/>
        </w:rPr>
      </w:pPr>
      <w:r w:rsidRPr="006836D9">
        <w:rPr>
          <w:rStyle w:val="big-number"/>
          <w:rFonts w:cs="FrankRuehl" w:hint="cs"/>
          <w:vanish/>
          <w:sz w:val="22"/>
          <w:szCs w:val="22"/>
          <w:shd w:val="clear" w:color="auto" w:fill="FFFF99"/>
          <w:rtl/>
        </w:rPr>
        <w:tab/>
      </w:r>
      <w:r w:rsidRPr="006836D9">
        <w:rPr>
          <w:rStyle w:val="big-number"/>
          <w:rFonts w:cs="FrankRuehl" w:hint="cs"/>
          <w:vanish/>
          <w:sz w:val="22"/>
          <w:szCs w:val="22"/>
          <w:u w:val="single"/>
          <w:shd w:val="clear" w:color="auto" w:fill="FFFF99"/>
          <w:rtl/>
        </w:rPr>
        <w:t>(א3)</w:t>
      </w:r>
      <w:r w:rsidRPr="006836D9">
        <w:rPr>
          <w:rStyle w:val="big-number"/>
          <w:rFonts w:cs="FrankRuehl" w:hint="cs"/>
          <w:vanish/>
          <w:sz w:val="22"/>
          <w:szCs w:val="22"/>
          <w:u w:val="single"/>
          <w:shd w:val="clear" w:color="auto" w:fill="FFFF99"/>
          <w:rtl/>
        </w:rPr>
        <w:tab/>
        <w:t>ניתן צו גירוש לפי סעיף קטן (א), יימסר למסתנן, בכתב או בעל פה, ככל האפשר, בשפה המובנת לו, מידע על זכויותיו לפי צו זה, וכן על זכותו, כי תימסר הודעה על החזקתו במשמורת לאדם קרוב לו ולעורך דין.</w:t>
      </w:r>
    </w:p>
    <w:p w:rsidR="00F74F5E" w:rsidRPr="006836D9" w:rsidRDefault="00F74F5E" w:rsidP="00F74F5E">
      <w:pPr>
        <w:pStyle w:val="P00"/>
        <w:spacing w:before="0"/>
        <w:ind w:left="0" w:right="1134"/>
        <w:rPr>
          <w:rStyle w:val="big-number"/>
          <w:rFonts w:cs="FrankRuehl" w:hint="cs"/>
          <w:vanish/>
          <w:sz w:val="22"/>
          <w:szCs w:val="22"/>
          <w:shd w:val="clear" w:color="auto" w:fill="FFFF99"/>
          <w:rtl/>
        </w:rPr>
      </w:pPr>
      <w:r w:rsidRPr="006836D9">
        <w:rPr>
          <w:rStyle w:val="big-number"/>
          <w:rFonts w:cs="FrankRuehl" w:hint="cs"/>
          <w:vanish/>
          <w:sz w:val="22"/>
          <w:szCs w:val="22"/>
          <w:shd w:val="clear" w:color="auto" w:fill="FFFF99"/>
          <w:rtl/>
        </w:rPr>
        <w:tab/>
        <w:t>(ב)</w:t>
      </w:r>
      <w:r w:rsidRPr="006836D9">
        <w:rPr>
          <w:rStyle w:val="big-number"/>
          <w:rFonts w:cs="FrankRuehl" w:hint="cs"/>
          <w:vanish/>
          <w:sz w:val="22"/>
          <w:szCs w:val="22"/>
          <w:shd w:val="clear" w:color="auto" w:fill="FFFF99"/>
          <w:rtl/>
        </w:rPr>
        <w:tab/>
        <w:t>ניתן צו גירוש לפי סעיף קטן (א) והאדם שנגדו הוצא צו גירוש נמצא מסיבה כלשהיא במעצר או מאסר, ישוחרר אותו אדם ממעצרו או ממאסרו לשם ביצוע הגירוש, אף אם לא תמה תקופת המעצר או המאסר, אלא אם נקבע אחרת בצו הגירוש.</w:t>
      </w:r>
    </w:p>
    <w:p w:rsidR="009E1B59" w:rsidRPr="006836D9" w:rsidRDefault="009E1B59" w:rsidP="00F74F5E">
      <w:pPr>
        <w:pStyle w:val="P00"/>
        <w:spacing w:before="0"/>
        <w:ind w:left="0" w:right="1134"/>
        <w:rPr>
          <w:rStyle w:val="big-number"/>
          <w:rFonts w:cs="FrankRuehl" w:hint="cs"/>
          <w:vanish/>
          <w:sz w:val="22"/>
          <w:szCs w:val="22"/>
          <w:shd w:val="clear" w:color="auto" w:fill="FFFF99"/>
          <w:rtl/>
        </w:rPr>
      </w:pPr>
      <w:r w:rsidRPr="006836D9">
        <w:rPr>
          <w:rStyle w:val="big-number"/>
          <w:rFonts w:cs="FrankRuehl" w:hint="cs"/>
          <w:vanish/>
          <w:sz w:val="22"/>
          <w:szCs w:val="22"/>
          <w:shd w:val="clear" w:color="auto" w:fill="FFFF99"/>
          <w:rtl/>
        </w:rPr>
        <w:tab/>
      </w:r>
      <w:r w:rsidRPr="006836D9">
        <w:rPr>
          <w:rStyle w:val="big-number"/>
          <w:rFonts w:cs="FrankRuehl" w:hint="cs"/>
          <w:vanish/>
          <w:sz w:val="22"/>
          <w:szCs w:val="22"/>
          <w:u w:val="single"/>
          <w:shd w:val="clear" w:color="auto" w:fill="FFFF99"/>
          <w:rtl/>
        </w:rPr>
        <w:t>(ג)</w:t>
      </w:r>
      <w:r w:rsidRPr="006836D9">
        <w:rPr>
          <w:rStyle w:val="big-number"/>
          <w:rFonts w:cs="FrankRuehl" w:hint="cs"/>
          <w:vanish/>
          <w:sz w:val="22"/>
          <w:szCs w:val="22"/>
          <w:u w:val="single"/>
          <w:shd w:val="clear" w:color="auto" w:fill="FFFF99"/>
          <w:rtl/>
        </w:rPr>
        <w:tab/>
        <w:t>ניתן צו גירוש לפי סעיף קטן (א), לא יגורש המסתנן, אלא אם חלפו 72 שעות מהמועד שנמסר לו צו הגירוש בכתב, זולת אם הסכים לכך; ורשאי המפקד הצבאי, לפי בקשתו של מי שניתן נגדו צו הרחקה, לדחות את מועד ביצוע ההרחקה.</w:t>
      </w:r>
    </w:p>
    <w:p w:rsidR="009E1B59" w:rsidRPr="00A30844" w:rsidRDefault="009E1B59" w:rsidP="00A30844">
      <w:pPr>
        <w:pStyle w:val="P00"/>
        <w:spacing w:before="0"/>
        <w:ind w:left="0" w:right="1134"/>
        <w:rPr>
          <w:rStyle w:val="big-number"/>
          <w:rFonts w:cs="FrankRuehl" w:hint="cs"/>
          <w:sz w:val="2"/>
          <w:szCs w:val="2"/>
          <w:rtl/>
        </w:rPr>
      </w:pPr>
      <w:r w:rsidRPr="006836D9">
        <w:rPr>
          <w:rStyle w:val="big-number"/>
          <w:rFonts w:cs="FrankRuehl" w:hint="cs"/>
          <w:vanish/>
          <w:sz w:val="22"/>
          <w:szCs w:val="22"/>
          <w:shd w:val="clear" w:color="auto" w:fill="FFFF99"/>
          <w:rtl/>
        </w:rPr>
        <w:tab/>
      </w:r>
      <w:r w:rsidRPr="006836D9">
        <w:rPr>
          <w:rStyle w:val="big-number"/>
          <w:rFonts w:cs="FrankRuehl" w:hint="cs"/>
          <w:vanish/>
          <w:sz w:val="22"/>
          <w:szCs w:val="22"/>
          <w:u w:val="single"/>
          <w:shd w:val="clear" w:color="auto" w:fill="FFFF99"/>
          <w:rtl/>
        </w:rPr>
        <w:t>(ד)</w:t>
      </w:r>
      <w:r w:rsidRPr="006836D9">
        <w:rPr>
          <w:rStyle w:val="big-number"/>
          <w:rFonts w:cs="FrankRuehl" w:hint="cs"/>
          <w:vanish/>
          <w:sz w:val="22"/>
          <w:szCs w:val="22"/>
          <w:u w:val="single"/>
          <w:shd w:val="clear" w:color="auto" w:fill="FFFF99"/>
          <w:rtl/>
        </w:rPr>
        <w:tab/>
      </w:r>
      <w:r w:rsidR="00BA3EBB" w:rsidRPr="006836D9">
        <w:rPr>
          <w:rStyle w:val="big-number"/>
          <w:rFonts w:cs="FrankRuehl" w:hint="cs"/>
          <w:vanish/>
          <w:sz w:val="22"/>
          <w:szCs w:val="22"/>
          <w:u w:val="single"/>
          <w:shd w:val="clear" w:color="auto" w:fill="FFFF99"/>
          <w:rtl/>
        </w:rPr>
        <w:t>על אף האמור בסעיף קטן (ג), אם נוכח המפקד הצבאי, כי המסתנן נכנס לאזור לא מכבר, רשאי הוא להורות על גירושו אף בטרם חלפו 72 שעות מהמועד שנמסר לו צו הגירוש בכתב, ובלבד שהמסתנן יגורש למדינה או לאזור שמהם הסתנן וכי הדבר יעשה בטרם חלפו 72 שעות מהמועד שבו היה לחייל או לשוטר יסוד סביר לחשד כי אותו אדם הסתנן לאזור.</w:t>
      </w:r>
      <w:bookmarkEnd w:id="7"/>
    </w:p>
    <w:p w:rsidR="0012073C" w:rsidRDefault="0012073C" w:rsidP="00A30844">
      <w:pPr>
        <w:pStyle w:val="P00"/>
        <w:spacing w:before="72"/>
        <w:ind w:left="0" w:right="1134"/>
        <w:rPr>
          <w:rStyle w:val="default"/>
          <w:rFonts w:cs="FrankRuehl" w:hint="cs"/>
          <w:rtl/>
        </w:rPr>
      </w:pPr>
      <w:bookmarkStart w:id="8" w:name="Seif4"/>
      <w:bookmarkEnd w:id="8"/>
      <w:r>
        <w:rPr>
          <w:rFonts w:cs="Miriam"/>
          <w:lang w:val="he-IL"/>
        </w:rPr>
        <w:pict>
          <v:rect id="_x0000_s1240" style="position:absolute;left:0;text-align:left;margin-left:464.35pt;margin-top:7.1pt;width:75.05pt;height:30.95pt;z-index:251651072" o:allowincell="f" filled="f" stroked="f" strokecolor="lime" strokeweight=".25pt">
            <v:textbox style="mso-next-textbox:#_x0000_s1240" inset="0,0,0,0">
              <w:txbxContent>
                <w:p w:rsidR="00017037" w:rsidRDefault="00017037" w:rsidP="00D5690D">
                  <w:pPr>
                    <w:spacing w:line="160" w:lineRule="exact"/>
                    <w:rPr>
                      <w:rFonts w:cs="Miriam" w:hint="cs"/>
                      <w:noProof/>
                      <w:sz w:val="18"/>
                      <w:szCs w:val="18"/>
                      <w:rtl/>
                    </w:rPr>
                  </w:pPr>
                  <w:r>
                    <w:rPr>
                      <w:rFonts w:cs="Miriam" w:hint="cs"/>
                      <w:sz w:val="18"/>
                      <w:szCs w:val="18"/>
                      <w:rtl/>
                    </w:rPr>
                    <w:t>דין מסתנן מזויין</w:t>
                  </w:r>
                </w:p>
                <w:p w:rsidR="00017037" w:rsidRDefault="00017037" w:rsidP="00A30844">
                  <w:pPr>
                    <w:spacing w:line="160" w:lineRule="exact"/>
                    <w:rPr>
                      <w:rFonts w:cs="Miriam" w:hint="cs"/>
                      <w:noProof/>
                      <w:sz w:val="18"/>
                      <w:szCs w:val="18"/>
                      <w:rtl/>
                    </w:rPr>
                  </w:pPr>
                  <w:r>
                    <w:rPr>
                      <w:rFonts w:cs="Miriam" w:hint="cs"/>
                      <w:sz w:val="18"/>
                      <w:szCs w:val="18"/>
                      <w:rtl/>
                    </w:rPr>
                    <w:t>תיקון מס' 2 (מס' 1650) תשס"ט-2009</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7F58C4">
        <w:rPr>
          <w:rStyle w:val="default"/>
          <w:rFonts w:cs="FrankRuehl" w:hint="cs"/>
          <w:rtl/>
        </w:rPr>
        <w:t xml:space="preserve">מי שהסתנן כשהוא מזויין, או בחברת אדם מזויין או נתמך על-ידי אדם מזויין, דינו </w:t>
      </w:r>
      <w:r w:rsidR="007F58C4">
        <w:rPr>
          <w:rStyle w:val="default"/>
          <w:rFonts w:cs="FrankRuehl"/>
          <w:rtl/>
        </w:rPr>
        <w:t>–</w:t>
      </w:r>
      <w:r w:rsidR="007F58C4">
        <w:rPr>
          <w:rStyle w:val="default"/>
          <w:rFonts w:cs="FrankRuehl" w:hint="cs"/>
          <w:rtl/>
        </w:rPr>
        <w:t xml:space="preserve"> מאסר </w:t>
      </w:r>
      <w:r w:rsidR="00A30844">
        <w:rPr>
          <w:rStyle w:val="default"/>
          <w:rFonts w:cs="FrankRuehl" w:hint="cs"/>
          <w:rtl/>
        </w:rPr>
        <w:t>עשרים שנים</w:t>
      </w:r>
      <w:r w:rsidR="00BC60EC">
        <w:rPr>
          <w:rStyle w:val="default"/>
          <w:rFonts w:cs="FrankRuehl" w:hint="cs"/>
          <w:rtl/>
        </w:rPr>
        <w:t>.</w:t>
      </w:r>
    </w:p>
    <w:p w:rsidR="00A30844" w:rsidRPr="006836D9" w:rsidRDefault="00A30844" w:rsidP="00A30844">
      <w:pPr>
        <w:pStyle w:val="P00"/>
        <w:spacing w:before="0"/>
        <w:ind w:left="0" w:right="1134"/>
        <w:rPr>
          <w:rStyle w:val="default"/>
          <w:rFonts w:cs="FrankRuehl" w:hint="cs"/>
          <w:vanish/>
          <w:color w:val="FF0000"/>
          <w:sz w:val="20"/>
          <w:szCs w:val="20"/>
          <w:shd w:val="clear" w:color="auto" w:fill="FFFF99"/>
          <w:rtl/>
        </w:rPr>
      </w:pPr>
      <w:bookmarkStart w:id="9" w:name="Rov8"/>
      <w:r w:rsidRPr="006836D9">
        <w:rPr>
          <w:rStyle w:val="default"/>
          <w:rFonts w:cs="FrankRuehl" w:hint="cs"/>
          <w:vanish/>
          <w:color w:val="FF0000"/>
          <w:sz w:val="20"/>
          <w:szCs w:val="20"/>
          <w:shd w:val="clear" w:color="auto" w:fill="FFFF99"/>
          <w:rtl/>
        </w:rPr>
        <w:t>מיום 13.4.2010</w:t>
      </w:r>
    </w:p>
    <w:p w:rsidR="00A30844" w:rsidRPr="006836D9" w:rsidRDefault="00A30844" w:rsidP="00A30844">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A30844" w:rsidRPr="006836D9" w:rsidRDefault="00A30844" w:rsidP="00A30844">
      <w:pPr>
        <w:pStyle w:val="P00"/>
        <w:spacing w:before="0"/>
        <w:ind w:left="0" w:right="1134"/>
        <w:rPr>
          <w:rStyle w:val="default"/>
          <w:rFonts w:cs="FrankRuehl" w:hint="cs"/>
          <w:vanish/>
          <w:sz w:val="20"/>
          <w:szCs w:val="20"/>
          <w:shd w:val="clear" w:color="auto" w:fill="FFFF99"/>
          <w:rtl/>
        </w:rPr>
      </w:pPr>
      <w:hyperlink r:id="rId13"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5844</w:t>
      </w:r>
    </w:p>
    <w:p w:rsidR="00A30844" w:rsidRPr="00FB5CA4" w:rsidRDefault="00A30844" w:rsidP="00FB5CA4">
      <w:pPr>
        <w:pStyle w:val="P00"/>
        <w:ind w:left="0" w:right="1134"/>
        <w:rPr>
          <w:rStyle w:val="default"/>
          <w:rFonts w:cs="FrankRuehl" w:hint="cs"/>
          <w:sz w:val="2"/>
          <w:szCs w:val="2"/>
          <w:rtl/>
        </w:rPr>
      </w:pPr>
      <w:r w:rsidRPr="006836D9">
        <w:rPr>
          <w:rStyle w:val="big-number"/>
          <w:rFonts w:cs="FrankRuehl" w:hint="cs"/>
          <w:vanish/>
          <w:sz w:val="22"/>
          <w:szCs w:val="22"/>
          <w:shd w:val="clear" w:color="auto" w:fill="FFFF99"/>
          <w:rtl/>
        </w:rPr>
        <w:t>4</w:t>
      </w:r>
      <w:r w:rsidRPr="006836D9">
        <w:rPr>
          <w:rStyle w:val="big-number"/>
          <w:rFonts w:cs="FrankRuehl"/>
          <w:vanish/>
          <w:sz w:val="22"/>
          <w:szCs w:val="22"/>
          <w:shd w:val="clear" w:color="auto" w:fill="FFFF99"/>
          <w:rtl/>
        </w:rPr>
        <w:t>.</w:t>
      </w:r>
      <w:r w:rsidRPr="006836D9">
        <w:rPr>
          <w:rStyle w:val="big-number"/>
          <w:rFonts w:cs="FrankRuehl"/>
          <w:vanish/>
          <w:sz w:val="22"/>
          <w:szCs w:val="22"/>
          <w:shd w:val="clear" w:color="auto" w:fill="FFFF99"/>
          <w:rtl/>
        </w:rPr>
        <w:tab/>
      </w:r>
      <w:r w:rsidRPr="006836D9">
        <w:rPr>
          <w:rStyle w:val="default"/>
          <w:rFonts w:cs="FrankRuehl" w:hint="cs"/>
          <w:vanish/>
          <w:sz w:val="22"/>
          <w:szCs w:val="22"/>
          <w:shd w:val="clear" w:color="auto" w:fill="FFFF99"/>
          <w:rtl/>
        </w:rPr>
        <w:t xml:space="preserve">מי שהסתנן כשהוא מזויין, או בחברת אדם מזויין או נתמך על-ידי אדם מזויין, דינו </w:t>
      </w:r>
      <w:r w:rsidRPr="006836D9">
        <w:rPr>
          <w:rStyle w:val="default"/>
          <w:rFonts w:cs="FrankRuehl"/>
          <w:vanish/>
          <w:sz w:val="22"/>
          <w:szCs w:val="22"/>
          <w:shd w:val="clear" w:color="auto" w:fill="FFFF99"/>
          <w:rtl/>
        </w:rPr>
        <w:t>–</w:t>
      </w:r>
      <w:r w:rsidRPr="006836D9">
        <w:rPr>
          <w:rStyle w:val="default"/>
          <w:rFonts w:cs="FrankRuehl" w:hint="cs"/>
          <w:vanish/>
          <w:sz w:val="22"/>
          <w:szCs w:val="22"/>
          <w:shd w:val="clear" w:color="auto" w:fill="FFFF99"/>
          <w:rtl/>
        </w:rPr>
        <w:t xml:space="preserve"> </w:t>
      </w:r>
      <w:r w:rsidRPr="006836D9">
        <w:rPr>
          <w:rStyle w:val="default"/>
          <w:rFonts w:cs="FrankRuehl" w:hint="cs"/>
          <w:strike/>
          <w:vanish/>
          <w:sz w:val="22"/>
          <w:szCs w:val="22"/>
          <w:shd w:val="clear" w:color="auto" w:fill="FFFF99"/>
          <w:rtl/>
        </w:rPr>
        <w:t>מאסר עולם</w:t>
      </w:r>
      <w:r w:rsidRPr="006836D9">
        <w:rPr>
          <w:rStyle w:val="default"/>
          <w:rFonts w:cs="FrankRuehl" w:hint="cs"/>
          <w:vanish/>
          <w:sz w:val="22"/>
          <w:szCs w:val="22"/>
          <w:shd w:val="clear" w:color="auto" w:fill="FFFF99"/>
          <w:rtl/>
        </w:rPr>
        <w:t xml:space="preserve"> </w:t>
      </w:r>
      <w:r w:rsidRPr="006836D9">
        <w:rPr>
          <w:rStyle w:val="default"/>
          <w:rFonts w:cs="FrankRuehl" w:hint="cs"/>
          <w:vanish/>
          <w:sz w:val="22"/>
          <w:szCs w:val="22"/>
          <w:u w:val="single"/>
          <w:shd w:val="clear" w:color="auto" w:fill="FFFF99"/>
          <w:rtl/>
        </w:rPr>
        <w:t>מאסר עשרים שנים</w:t>
      </w:r>
      <w:r w:rsidRPr="006836D9">
        <w:rPr>
          <w:rStyle w:val="default"/>
          <w:rFonts w:cs="FrankRuehl" w:hint="cs"/>
          <w:vanish/>
          <w:sz w:val="22"/>
          <w:szCs w:val="22"/>
          <w:shd w:val="clear" w:color="auto" w:fill="FFFF99"/>
          <w:rtl/>
        </w:rPr>
        <w:t>.</w:t>
      </w:r>
      <w:bookmarkEnd w:id="9"/>
    </w:p>
    <w:p w:rsidR="00AE705E" w:rsidRDefault="00AE705E" w:rsidP="00FB5CA4">
      <w:pPr>
        <w:pStyle w:val="P00"/>
        <w:spacing w:before="72"/>
        <w:ind w:left="0" w:right="1134"/>
        <w:rPr>
          <w:rStyle w:val="default"/>
          <w:rFonts w:cs="FrankRuehl" w:hint="cs"/>
          <w:rtl/>
        </w:rPr>
      </w:pPr>
      <w:bookmarkStart w:id="10" w:name="Seif5"/>
      <w:bookmarkEnd w:id="10"/>
      <w:r>
        <w:rPr>
          <w:rFonts w:cs="Miriam"/>
          <w:lang w:val="he-IL"/>
        </w:rPr>
        <w:pict>
          <v:rect id="_x0000_s1266" style="position:absolute;left:0;text-align:left;margin-left:464.35pt;margin-top:7.1pt;width:75.05pt;height:28.95pt;z-index:251652096" o:allowincell="f" filled="f" stroked="f" strokecolor="lime" strokeweight=".25pt">
            <v:textbox style="mso-next-textbox:#_x0000_s1266" inset="0,0,0,0">
              <w:txbxContent>
                <w:p w:rsidR="00017037" w:rsidRDefault="00017037" w:rsidP="00AE705E">
                  <w:pPr>
                    <w:spacing w:line="160" w:lineRule="exact"/>
                    <w:rPr>
                      <w:rFonts w:cs="Miriam" w:hint="cs"/>
                      <w:noProof/>
                      <w:sz w:val="18"/>
                      <w:szCs w:val="18"/>
                      <w:rtl/>
                    </w:rPr>
                  </w:pPr>
                  <w:r>
                    <w:rPr>
                      <w:rFonts w:cs="Miriam" w:hint="cs"/>
                      <w:sz w:val="18"/>
                      <w:szCs w:val="18"/>
                      <w:rtl/>
                    </w:rPr>
                    <w:t>ראיות</w:t>
                  </w:r>
                </w:p>
                <w:p w:rsidR="00017037" w:rsidRDefault="00017037" w:rsidP="00FB5CA4">
                  <w:pPr>
                    <w:spacing w:line="160" w:lineRule="exact"/>
                    <w:rPr>
                      <w:rFonts w:cs="Miriam" w:hint="cs"/>
                      <w:noProof/>
                      <w:sz w:val="18"/>
                      <w:szCs w:val="18"/>
                      <w:rtl/>
                    </w:rPr>
                  </w:pPr>
                  <w:r>
                    <w:rPr>
                      <w:rFonts w:cs="Miriam" w:hint="cs"/>
                      <w:sz w:val="18"/>
                      <w:szCs w:val="18"/>
                      <w:rtl/>
                    </w:rPr>
                    <w:t>תיקון מס' 2 (מס' 1650) תשס"ט-2009</w:t>
                  </w:r>
                </w:p>
              </w:txbxContent>
            </v:textbox>
            <w10:anchorlock/>
          </v:rect>
        </w:pict>
      </w:r>
      <w:r w:rsidR="009165E3">
        <w:rPr>
          <w:rStyle w:val="big-number"/>
          <w:rFonts w:cs="Miriam" w:hint="cs"/>
          <w:rtl/>
        </w:rPr>
        <w:t>5</w:t>
      </w:r>
      <w:r>
        <w:rPr>
          <w:rStyle w:val="big-number"/>
          <w:rFonts w:cs="FrankRuehl"/>
          <w:sz w:val="26"/>
          <w:szCs w:val="26"/>
          <w:rtl/>
        </w:rPr>
        <w:t>.</w:t>
      </w:r>
      <w:r>
        <w:rPr>
          <w:rStyle w:val="big-number"/>
          <w:rFonts w:cs="FrankRuehl"/>
          <w:sz w:val="26"/>
          <w:szCs w:val="26"/>
          <w:rtl/>
        </w:rPr>
        <w:tab/>
      </w:r>
      <w:r w:rsidR="00FB5CA4">
        <w:rPr>
          <w:rStyle w:val="big-number"/>
          <w:rFonts w:cs="FrankRuehl" w:hint="cs"/>
          <w:sz w:val="26"/>
          <w:szCs w:val="26"/>
          <w:rtl/>
        </w:rPr>
        <w:t>(א)</w:t>
      </w:r>
      <w:r w:rsidR="00FB5CA4">
        <w:rPr>
          <w:rStyle w:val="big-number"/>
          <w:rFonts w:cs="FrankRuehl" w:hint="cs"/>
          <w:sz w:val="26"/>
          <w:szCs w:val="26"/>
          <w:rtl/>
        </w:rPr>
        <w:tab/>
      </w:r>
      <w:r w:rsidR="007F58C4">
        <w:rPr>
          <w:rStyle w:val="default"/>
          <w:rFonts w:cs="FrankRuehl" w:hint="cs"/>
          <w:rtl/>
        </w:rPr>
        <w:t xml:space="preserve">בכל הליך לפי צו זה, </w:t>
      </w:r>
      <w:r w:rsidR="00FB5CA4">
        <w:rPr>
          <w:rStyle w:val="default"/>
          <w:rFonts w:cs="FrankRuehl" w:hint="cs"/>
          <w:rtl/>
        </w:rPr>
        <w:t>חזקה כי אדם הוא מסתנן אם הוא נמצא</w:t>
      </w:r>
      <w:r w:rsidR="007F58C4">
        <w:rPr>
          <w:rStyle w:val="default"/>
          <w:rFonts w:cs="FrankRuehl" w:hint="cs"/>
          <w:rtl/>
        </w:rPr>
        <w:t xml:space="preserve"> באזור </w:t>
      </w:r>
      <w:r w:rsidR="00FB5CA4">
        <w:rPr>
          <w:rStyle w:val="default"/>
          <w:rFonts w:cs="FrankRuehl" w:hint="cs"/>
          <w:rtl/>
        </w:rPr>
        <w:t xml:space="preserve">ללא </w:t>
      </w:r>
      <w:r w:rsidR="007F58C4">
        <w:rPr>
          <w:rStyle w:val="default"/>
          <w:rFonts w:cs="FrankRuehl" w:hint="cs"/>
          <w:rtl/>
        </w:rPr>
        <w:t xml:space="preserve">תעודה </w:t>
      </w:r>
      <w:r w:rsidR="00FB5CA4">
        <w:rPr>
          <w:rStyle w:val="default"/>
          <w:rFonts w:cs="FrankRuehl" w:hint="cs"/>
          <w:rtl/>
        </w:rPr>
        <w:t>או היתר המעידים על שהייתו באזור כדין, ללא הצדק סביר</w:t>
      </w:r>
      <w:r w:rsidR="009165E3">
        <w:rPr>
          <w:rStyle w:val="default"/>
          <w:rFonts w:cs="FrankRuehl" w:hint="cs"/>
          <w:rtl/>
        </w:rPr>
        <w:t>.</w:t>
      </w:r>
    </w:p>
    <w:p w:rsidR="00FB5CA4" w:rsidRDefault="00FB5CA4" w:rsidP="00FB5C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w:t>
      </w:r>
      <w:r>
        <w:rPr>
          <w:rStyle w:val="default"/>
          <w:rFonts w:cs="FrankRuehl"/>
          <w:rtl/>
        </w:rPr>
        <w:t>–</w:t>
      </w:r>
    </w:p>
    <w:p w:rsidR="00FB5CA4" w:rsidRDefault="00FB5CA4" w:rsidP="00FB5CA4">
      <w:pPr>
        <w:pStyle w:val="P00"/>
        <w:spacing w:before="72"/>
        <w:ind w:left="0" w:right="1134"/>
        <w:rPr>
          <w:rStyle w:val="default"/>
          <w:rFonts w:cs="FrankRuehl" w:hint="cs"/>
          <w:rtl/>
        </w:rPr>
      </w:pPr>
      <w:r>
        <w:rPr>
          <w:rStyle w:val="default"/>
          <w:rFonts w:cs="FrankRuehl" w:hint="cs"/>
          <w:rtl/>
        </w:rPr>
        <w:tab/>
        <w:t xml:space="preserve">"תעודה או היתר כדין" </w:t>
      </w:r>
      <w:r>
        <w:rPr>
          <w:rStyle w:val="default"/>
          <w:rFonts w:cs="FrankRuehl"/>
          <w:rtl/>
        </w:rPr>
        <w:t>–</w:t>
      </w:r>
      <w:r>
        <w:rPr>
          <w:rStyle w:val="default"/>
          <w:rFonts w:cs="FrankRuehl" w:hint="cs"/>
          <w:rtl/>
        </w:rPr>
        <w:t xml:space="preserve"> תעודה או היתר שהונפקו על ידי מפקד כוחות צה"ל באיו"ש או מי מטעמו, על פי הוראות תחיקת הבטחון, או שהונפקו על ידי רשויות מדינת ישראל, לפי חוק הכניסה לישראל, התשי"ב-1952, כפי תוקפו בישראל מעת לעת, המתירות שהייתו של אדם באזור.</w:t>
      </w:r>
    </w:p>
    <w:p w:rsidR="00FB5CA4" w:rsidRPr="006836D9" w:rsidRDefault="00FB5CA4" w:rsidP="00FB5CA4">
      <w:pPr>
        <w:pStyle w:val="P00"/>
        <w:spacing w:before="0"/>
        <w:ind w:left="0" w:right="1134"/>
        <w:rPr>
          <w:rStyle w:val="default"/>
          <w:rFonts w:cs="FrankRuehl" w:hint="cs"/>
          <w:vanish/>
          <w:color w:val="FF0000"/>
          <w:sz w:val="20"/>
          <w:szCs w:val="20"/>
          <w:shd w:val="clear" w:color="auto" w:fill="FFFF99"/>
          <w:rtl/>
        </w:rPr>
      </w:pPr>
      <w:bookmarkStart w:id="11" w:name="Rov9"/>
      <w:r w:rsidRPr="006836D9">
        <w:rPr>
          <w:rStyle w:val="default"/>
          <w:rFonts w:cs="FrankRuehl" w:hint="cs"/>
          <w:vanish/>
          <w:color w:val="FF0000"/>
          <w:sz w:val="20"/>
          <w:szCs w:val="20"/>
          <w:shd w:val="clear" w:color="auto" w:fill="FFFF99"/>
          <w:rtl/>
        </w:rPr>
        <w:t>מיום 13.4.2010</w:t>
      </w:r>
    </w:p>
    <w:p w:rsidR="00FB5CA4" w:rsidRPr="006836D9" w:rsidRDefault="00FB5CA4" w:rsidP="00FB5CA4">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FB5CA4" w:rsidRPr="006836D9" w:rsidRDefault="00FB5CA4" w:rsidP="00FB5CA4">
      <w:pPr>
        <w:pStyle w:val="P00"/>
        <w:spacing w:before="0"/>
        <w:ind w:left="0" w:right="1134"/>
        <w:rPr>
          <w:rStyle w:val="default"/>
          <w:rFonts w:cs="FrankRuehl" w:hint="cs"/>
          <w:vanish/>
          <w:sz w:val="20"/>
          <w:szCs w:val="20"/>
          <w:shd w:val="clear" w:color="auto" w:fill="FFFF99"/>
          <w:rtl/>
        </w:rPr>
      </w:pPr>
      <w:hyperlink r:id="rId14"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5844</w:t>
      </w:r>
    </w:p>
    <w:p w:rsidR="00FB5CA4" w:rsidRPr="006836D9" w:rsidRDefault="00FB5CA4" w:rsidP="00FB5CA4">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החלפת סעיף 5</w:t>
      </w:r>
    </w:p>
    <w:p w:rsidR="00FB5CA4" w:rsidRPr="006836D9" w:rsidRDefault="00FB5CA4" w:rsidP="00FB5CA4">
      <w:pPr>
        <w:pStyle w:val="P00"/>
        <w:ind w:left="0" w:right="1134"/>
        <w:rPr>
          <w:rStyle w:val="default"/>
          <w:rFonts w:cs="FrankRuehl" w:hint="cs"/>
          <w:vanish/>
          <w:sz w:val="20"/>
          <w:szCs w:val="20"/>
          <w:shd w:val="clear" w:color="auto" w:fill="FFFF99"/>
          <w:rtl/>
        </w:rPr>
      </w:pPr>
      <w:r w:rsidRPr="006836D9">
        <w:rPr>
          <w:rStyle w:val="default"/>
          <w:rFonts w:cs="FrankRuehl" w:hint="cs"/>
          <w:vanish/>
          <w:sz w:val="20"/>
          <w:szCs w:val="20"/>
          <w:shd w:val="clear" w:color="auto" w:fill="FFFF99"/>
          <w:rtl/>
        </w:rPr>
        <w:t>הנוסח הקודם:</w:t>
      </w:r>
    </w:p>
    <w:p w:rsidR="00FB5CA4" w:rsidRPr="006836D9" w:rsidRDefault="00FB5CA4" w:rsidP="00FB5CA4">
      <w:pPr>
        <w:pStyle w:val="P00"/>
        <w:spacing w:before="20"/>
        <w:ind w:left="0" w:right="1134"/>
        <w:rPr>
          <w:rStyle w:val="big-number"/>
          <w:rFonts w:cs="Miriam" w:hint="cs"/>
          <w:strike/>
          <w:vanish/>
          <w:sz w:val="16"/>
          <w:szCs w:val="16"/>
          <w:shd w:val="clear" w:color="auto" w:fill="FFFF99"/>
          <w:rtl/>
        </w:rPr>
      </w:pPr>
      <w:r w:rsidRPr="006836D9">
        <w:rPr>
          <w:rStyle w:val="big-number"/>
          <w:rFonts w:cs="Miriam" w:hint="cs"/>
          <w:strike/>
          <w:vanish/>
          <w:sz w:val="16"/>
          <w:szCs w:val="16"/>
          <w:shd w:val="clear" w:color="auto" w:fill="FFFF99"/>
          <w:rtl/>
        </w:rPr>
        <w:t>ראיות</w:t>
      </w:r>
    </w:p>
    <w:p w:rsidR="00FB5CA4" w:rsidRPr="00017037" w:rsidRDefault="00FB5CA4" w:rsidP="00017037">
      <w:pPr>
        <w:pStyle w:val="P00"/>
        <w:spacing w:before="0"/>
        <w:ind w:left="0" w:right="1134"/>
        <w:rPr>
          <w:rStyle w:val="default"/>
          <w:rFonts w:cs="FrankRuehl" w:hint="cs"/>
          <w:strike/>
          <w:sz w:val="2"/>
          <w:szCs w:val="2"/>
          <w:rtl/>
        </w:rPr>
      </w:pPr>
      <w:r w:rsidRPr="006836D9">
        <w:rPr>
          <w:rStyle w:val="big-number"/>
          <w:rFonts w:cs="FrankRuehl" w:hint="cs"/>
          <w:strike/>
          <w:vanish/>
          <w:sz w:val="22"/>
          <w:szCs w:val="22"/>
          <w:shd w:val="clear" w:color="auto" w:fill="FFFF99"/>
          <w:rtl/>
        </w:rPr>
        <w:t>5</w:t>
      </w:r>
      <w:r w:rsidRPr="006836D9">
        <w:rPr>
          <w:rStyle w:val="big-number"/>
          <w:rFonts w:cs="FrankRuehl"/>
          <w:strike/>
          <w:vanish/>
          <w:sz w:val="22"/>
          <w:szCs w:val="22"/>
          <w:shd w:val="clear" w:color="auto" w:fill="FFFF99"/>
          <w:rtl/>
        </w:rPr>
        <w:t>.</w:t>
      </w:r>
      <w:r w:rsidRPr="006836D9">
        <w:rPr>
          <w:rStyle w:val="big-number"/>
          <w:rFonts w:cs="FrankRuehl"/>
          <w:strike/>
          <w:vanish/>
          <w:sz w:val="22"/>
          <w:szCs w:val="22"/>
          <w:shd w:val="clear" w:color="auto" w:fill="FFFF99"/>
          <w:rtl/>
        </w:rPr>
        <w:tab/>
      </w:r>
      <w:r w:rsidRPr="006836D9">
        <w:rPr>
          <w:rStyle w:val="default"/>
          <w:rFonts w:cs="FrankRuehl" w:hint="cs"/>
          <w:strike/>
          <w:vanish/>
          <w:sz w:val="22"/>
          <w:szCs w:val="22"/>
          <w:shd w:val="clear" w:color="auto" w:fill="FFFF99"/>
          <w:rtl/>
        </w:rPr>
        <w:t>בכל הליך לפי צו זה, מי שנמצא באזור בלי תעודה המאפשרת זיהויו כתושב האזור, עליו הראייה שלא הסתנן לאחר תחילתו של צו זה.</w:t>
      </w:r>
      <w:bookmarkEnd w:id="11"/>
    </w:p>
    <w:p w:rsidR="00AE705E" w:rsidRDefault="00AE705E" w:rsidP="00017037">
      <w:pPr>
        <w:pStyle w:val="P00"/>
        <w:spacing w:before="72"/>
        <w:ind w:left="0" w:right="1134"/>
        <w:rPr>
          <w:rStyle w:val="default"/>
          <w:rFonts w:cs="FrankRuehl" w:hint="cs"/>
          <w:rtl/>
        </w:rPr>
      </w:pPr>
      <w:bookmarkStart w:id="12" w:name="Seif6"/>
      <w:bookmarkEnd w:id="12"/>
      <w:r>
        <w:rPr>
          <w:rFonts w:cs="Miriam"/>
          <w:lang w:val="he-IL"/>
        </w:rPr>
        <w:pict>
          <v:rect id="_x0000_s1267" style="position:absolute;left:0;text-align:left;margin-left:464.35pt;margin-top:7.1pt;width:75.05pt;height:32.65pt;z-index:251653120" o:allowincell="f" filled="f" stroked="f" strokecolor="lime" strokeweight=".25pt">
            <v:textbox style="mso-next-textbox:#_x0000_s1267" inset="0,0,0,0">
              <w:txbxContent>
                <w:p w:rsidR="00017037" w:rsidRDefault="00017037" w:rsidP="00AE705E">
                  <w:pPr>
                    <w:spacing w:line="160" w:lineRule="exact"/>
                    <w:rPr>
                      <w:rFonts w:cs="Miriam" w:hint="cs"/>
                      <w:sz w:val="18"/>
                      <w:szCs w:val="18"/>
                      <w:rtl/>
                    </w:rPr>
                  </w:pPr>
                  <w:r>
                    <w:rPr>
                      <w:rFonts w:cs="Miriam" w:hint="cs"/>
                      <w:sz w:val="18"/>
                      <w:szCs w:val="18"/>
                      <w:rtl/>
                    </w:rPr>
                    <w:t>הוצאות ביצוע צו גירוש</w:t>
                  </w:r>
                </w:p>
                <w:p w:rsidR="00017037" w:rsidRDefault="00017037" w:rsidP="00017037">
                  <w:pPr>
                    <w:spacing w:line="160" w:lineRule="exact"/>
                    <w:rPr>
                      <w:rFonts w:cs="Miriam" w:hint="cs"/>
                      <w:noProof/>
                      <w:sz w:val="18"/>
                      <w:szCs w:val="18"/>
                      <w:rtl/>
                    </w:rPr>
                  </w:pPr>
                  <w:r>
                    <w:rPr>
                      <w:rFonts w:cs="Miriam" w:hint="cs"/>
                      <w:sz w:val="18"/>
                      <w:szCs w:val="18"/>
                      <w:rtl/>
                    </w:rPr>
                    <w:t>תיקון מס' 2 (מס' 1650) תשס"ט-2009</w:t>
                  </w:r>
                </w:p>
              </w:txbxContent>
            </v:textbox>
            <w10:anchorlock/>
          </v:rect>
        </w:pict>
      </w:r>
      <w:r w:rsidR="009165E3">
        <w:rPr>
          <w:rStyle w:val="big-number"/>
          <w:rFonts w:cs="Miriam" w:hint="cs"/>
          <w:rtl/>
        </w:rPr>
        <w:t>6</w:t>
      </w:r>
      <w:r>
        <w:rPr>
          <w:rStyle w:val="big-number"/>
          <w:rFonts w:cs="FrankRuehl"/>
          <w:sz w:val="26"/>
          <w:szCs w:val="26"/>
          <w:rtl/>
        </w:rPr>
        <w:t>.</w:t>
      </w:r>
      <w:r>
        <w:rPr>
          <w:rStyle w:val="big-number"/>
          <w:rFonts w:cs="FrankRuehl"/>
          <w:sz w:val="26"/>
          <w:szCs w:val="26"/>
          <w:rtl/>
        </w:rPr>
        <w:tab/>
      </w:r>
      <w:r w:rsidR="00017037">
        <w:rPr>
          <w:rStyle w:val="default"/>
          <w:rFonts w:cs="FrankRuehl" w:hint="cs"/>
          <w:rtl/>
        </w:rPr>
        <w:t>מפקד צבאי רשאי להטיל את הוצאות ביצוע צו הגירוש, לרבות הוצאות ההחזקה במשמורת, על המסתנן, ובלבד שסך הוצאות אלה לא יעלה על 7,500 שקלים חדשים; ורשאי המפקד הצבאי להורות על חילוט ההוצאות מכספי המסתנן</w:t>
      </w:r>
      <w:r w:rsidR="009165E3">
        <w:rPr>
          <w:rStyle w:val="default"/>
          <w:rFonts w:cs="FrankRuehl" w:hint="cs"/>
          <w:rtl/>
        </w:rPr>
        <w:t>.</w:t>
      </w:r>
    </w:p>
    <w:p w:rsidR="00017037" w:rsidRPr="006836D9" w:rsidRDefault="00017037" w:rsidP="00017037">
      <w:pPr>
        <w:pStyle w:val="P00"/>
        <w:spacing w:before="0"/>
        <w:ind w:left="0" w:right="1134"/>
        <w:rPr>
          <w:rStyle w:val="default"/>
          <w:rFonts w:cs="FrankRuehl" w:hint="cs"/>
          <w:vanish/>
          <w:color w:val="FF0000"/>
          <w:sz w:val="20"/>
          <w:szCs w:val="20"/>
          <w:shd w:val="clear" w:color="auto" w:fill="FFFF99"/>
          <w:rtl/>
        </w:rPr>
      </w:pPr>
      <w:bookmarkStart w:id="13" w:name="Rov10"/>
      <w:r w:rsidRPr="006836D9">
        <w:rPr>
          <w:rStyle w:val="default"/>
          <w:rFonts w:cs="FrankRuehl" w:hint="cs"/>
          <w:vanish/>
          <w:color w:val="FF0000"/>
          <w:sz w:val="20"/>
          <w:szCs w:val="20"/>
          <w:shd w:val="clear" w:color="auto" w:fill="FFFF99"/>
          <w:rtl/>
        </w:rPr>
        <w:t>מיום 13.4.2010</w:t>
      </w:r>
    </w:p>
    <w:p w:rsidR="00017037" w:rsidRPr="006836D9" w:rsidRDefault="00017037" w:rsidP="00017037">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017037" w:rsidRPr="006836D9" w:rsidRDefault="00017037" w:rsidP="00017037">
      <w:pPr>
        <w:pStyle w:val="P00"/>
        <w:spacing w:before="0"/>
        <w:ind w:left="0" w:right="1134"/>
        <w:rPr>
          <w:rStyle w:val="default"/>
          <w:rFonts w:cs="FrankRuehl" w:hint="cs"/>
          <w:vanish/>
          <w:sz w:val="20"/>
          <w:szCs w:val="20"/>
          <w:shd w:val="clear" w:color="auto" w:fill="FFFF99"/>
          <w:rtl/>
        </w:rPr>
      </w:pPr>
      <w:hyperlink r:id="rId15"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5844</w:t>
      </w:r>
    </w:p>
    <w:p w:rsidR="00017037" w:rsidRPr="006836D9" w:rsidRDefault="00017037" w:rsidP="00017037">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החלפת סעיף 6</w:t>
      </w:r>
    </w:p>
    <w:p w:rsidR="00017037" w:rsidRPr="006836D9" w:rsidRDefault="00017037" w:rsidP="00017037">
      <w:pPr>
        <w:pStyle w:val="P00"/>
        <w:ind w:left="0" w:right="1134"/>
        <w:rPr>
          <w:rStyle w:val="default"/>
          <w:rFonts w:cs="FrankRuehl" w:hint="cs"/>
          <w:vanish/>
          <w:sz w:val="20"/>
          <w:szCs w:val="20"/>
          <w:shd w:val="clear" w:color="auto" w:fill="FFFF99"/>
          <w:rtl/>
        </w:rPr>
      </w:pPr>
      <w:r w:rsidRPr="006836D9">
        <w:rPr>
          <w:rStyle w:val="default"/>
          <w:rFonts w:cs="FrankRuehl" w:hint="cs"/>
          <w:vanish/>
          <w:sz w:val="20"/>
          <w:szCs w:val="20"/>
          <w:shd w:val="clear" w:color="auto" w:fill="FFFF99"/>
          <w:rtl/>
        </w:rPr>
        <w:t>הנוסח הקודם:</w:t>
      </w:r>
    </w:p>
    <w:p w:rsidR="00017037" w:rsidRPr="006836D9" w:rsidRDefault="00017037" w:rsidP="00017037">
      <w:pPr>
        <w:pStyle w:val="P00"/>
        <w:spacing w:before="20"/>
        <w:ind w:left="0" w:right="1134"/>
        <w:rPr>
          <w:rStyle w:val="big-number"/>
          <w:rFonts w:cs="Miriam" w:hint="cs"/>
          <w:strike/>
          <w:vanish/>
          <w:sz w:val="16"/>
          <w:szCs w:val="16"/>
          <w:shd w:val="clear" w:color="auto" w:fill="FFFF99"/>
          <w:rtl/>
        </w:rPr>
      </w:pPr>
      <w:r w:rsidRPr="006836D9">
        <w:rPr>
          <w:rStyle w:val="big-number"/>
          <w:rFonts w:cs="Miriam" w:hint="cs"/>
          <w:strike/>
          <w:vanish/>
          <w:sz w:val="16"/>
          <w:szCs w:val="16"/>
          <w:shd w:val="clear" w:color="auto" w:fill="FFFF99"/>
          <w:rtl/>
        </w:rPr>
        <w:t>שהייה לאחר תום תוקף הרשיון</w:t>
      </w:r>
    </w:p>
    <w:p w:rsidR="00017037" w:rsidRPr="00017037" w:rsidRDefault="00017037" w:rsidP="00017037">
      <w:pPr>
        <w:pStyle w:val="P00"/>
        <w:spacing w:before="0"/>
        <w:ind w:left="0" w:right="1134"/>
        <w:rPr>
          <w:rStyle w:val="default"/>
          <w:rFonts w:cs="FrankRuehl" w:hint="cs"/>
          <w:strike/>
          <w:sz w:val="2"/>
          <w:szCs w:val="2"/>
          <w:rtl/>
        </w:rPr>
      </w:pPr>
      <w:r w:rsidRPr="006836D9">
        <w:rPr>
          <w:rStyle w:val="default"/>
          <w:rFonts w:cs="FrankRuehl" w:hint="cs"/>
          <w:strike/>
          <w:vanish/>
          <w:sz w:val="22"/>
          <w:szCs w:val="22"/>
          <w:shd w:val="clear" w:color="auto" w:fill="FFFF99"/>
          <w:rtl/>
        </w:rPr>
        <w:t>6</w:t>
      </w:r>
      <w:r w:rsidRPr="006836D9">
        <w:rPr>
          <w:rStyle w:val="default"/>
          <w:rFonts w:cs="FrankRuehl"/>
          <w:strike/>
          <w:vanish/>
          <w:sz w:val="22"/>
          <w:szCs w:val="22"/>
          <w:shd w:val="clear" w:color="auto" w:fill="FFFF99"/>
          <w:rtl/>
        </w:rPr>
        <w:t>.</w:t>
      </w:r>
      <w:r w:rsidRPr="006836D9">
        <w:rPr>
          <w:rStyle w:val="default"/>
          <w:rFonts w:cs="FrankRuehl"/>
          <w:strike/>
          <w:vanish/>
          <w:sz w:val="22"/>
          <w:szCs w:val="22"/>
          <w:shd w:val="clear" w:color="auto" w:fill="FFFF99"/>
          <w:rtl/>
        </w:rPr>
        <w:tab/>
      </w:r>
      <w:r w:rsidRPr="006836D9">
        <w:rPr>
          <w:rStyle w:val="default"/>
          <w:rFonts w:cs="FrankRuehl" w:hint="cs"/>
          <w:strike/>
          <w:vanish/>
          <w:sz w:val="22"/>
          <w:szCs w:val="22"/>
          <w:shd w:val="clear" w:color="auto" w:fill="FFFF99"/>
          <w:rtl/>
        </w:rPr>
        <w:t>מי שנכנס לאזור לאחר היום הקובע על-פי רשיון ונשאר באזור שלא כדין לאחר תום תוקף הרשיון, או בניגוד לתנאיו, רואים אותו לעניין סעיף 3 כמסתנן.</w:t>
      </w:r>
      <w:bookmarkEnd w:id="13"/>
    </w:p>
    <w:p w:rsidR="00017037" w:rsidRDefault="00017037" w:rsidP="00017037">
      <w:pPr>
        <w:pStyle w:val="P00"/>
        <w:spacing w:before="72"/>
        <w:ind w:left="0" w:right="1134"/>
        <w:rPr>
          <w:rStyle w:val="default"/>
          <w:rFonts w:cs="FrankRuehl" w:hint="cs"/>
          <w:rtl/>
        </w:rPr>
      </w:pPr>
      <w:bookmarkStart w:id="14" w:name="Seif10"/>
      <w:bookmarkEnd w:id="14"/>
      <w:r>
        <w:rPr>
          <w:rFonts w:cs="Miriam"/>
          <w:lang w:val="he-IL"/>
        </w:rPr>
        <w:pict>
          <v:rect id="_x0000_s1307" style="position:absolute;left:0;text-align:left;margin-left:464.35pt;margin-top:7.1pt;width:75.05pt;height:32.2pt;z-index:251667456" o:allowincell="f" filled="f" stroked="f" strokecolor="lime" strokeweight=".25pt">
            <v:textbox style="mso-next-textbox:#_x0000_s1307" inset="0,0,0,0">
              <w:txbxContent>
                <w:p w:rsidR="00017037" w:rsidRDefault="00017037" w:rsidP="00017037">
                  <w:pPr>
                    <w:spacing w:line="160" w:lineRule="exact"/>
                    <w:rPr>
                      <w:rFonts w:cs="Miriam" w:hint="cs"/>
                      <w:sz w:val="18"/>
                      <w:szCs w:val="18"/>
                      <w:rtl/>
                    </w:rPr>
                  </w:pPr>
                  <w:r>
                    <w:rPr>
                      <w:rFonts w:cs="Miriam" w:hint="cs"/>
                      <w:sz w:val="18"/>
                      <w:szCs w:val="18"/>
                      <w:rtl/>
                    </w:rPr>
                    <w:t>שחרור בערבות</w:t>
                  </w:r>
                </w:p>
                <w:p w:rsidR="00017037" w:rsidRDefault="00017037" w:rsidP="00017037">
                  <w:pPr>
                    <w:spacing w:line="160" w:lineRule="exact"/>
                    <w:rPr>
                      <w:rFonts w:cs="Miriam" w:hint="cs"/>
                      <w:noProof/>
                      <w:sz w:val="18"/>
                      <w:szCs w:val="18"/>
                      <w:rtl/>
                    </w:rPr>
                  </w:pPr>
                  <w:r>
                    <w:rPr>
                      <w:rFonts w:cs="Miriam" w:hint="cs"/>
                      <w:sz w:val="18"/>
                      <w:szCs w:val="18"/>
                      <w:rtl/>
                    </w:rPr>
                    <w:t>תיקון מס' 2 (מס' 1650) תשס"ט-2009</w:t>
                  </w:r>
                </w:p>
              </w:txbxContent>
            </v:textbox>
            <w10:anchorlock/>
          </v:rect>
        </w:pict>
      </w:r>
      <w:r>
        <w:rPr>
          <w:rStyle w:val="big-number"/>
          <w:rFonts w:cs="Miriam" w:hint="cs"/>
          <w:rtl/>
        </w:rPr>
        <w:t>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ניתן נגד מסתנן צו גירוש לפי הוראות צו זה, רשאי מפקד צבאי להורות על שחרורו של המסתנן בערבות עצמית, בין לבדה ובין בצירוף ערבות ערב, או בעירבון כספי של המסתנן או של ערב, או מקצתה בערבות ומקצתה בעירבון.</w:t>
      </w:r>
    </w:p>
    <w:p w:rsidR="00017037" w:rsidRDefault="00017037" w:rsidP="000170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לא יורה המפקד הצבאי על שחרורו של המסתנן, אם סבר כי </w:t>
      </w:r>
      <w:r>
        <w:rPr>
          <w:rStyle w:val="default"/>
          <w:rFonts w:cs="FrankRuehl"/>
          <w:rtl/>
        </w:rPr>
        <w:t>–</w:t>
      </w:r>
    </w:p>
    <w:p w:rsidR="00017037" w:rsidRDefault="00017037" w:rsidP="000170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גירושו של המסתנן מהאזור נמנע או מתעכב בשל העדר שיתוף פעולה מלא מצדו, לרבות סירוב לחזור למדינת מוצאו, או</w:t>
      </w:r>
    </w:p>
    <w:p w:rsidR="00017037" w:rsidRDefault="00017037" w:rsidP="000170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בשחרורו של המסתנן כדי לסכן את בטחון האזור, את שלום הציבור או את בריאותו.</w:t>
      </w:r>
    </w:p>
    <w:p w:rsidR="00017037" w:rsidRDefault="00017037" w:rsidP="000170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השחרור בערבות יותנה בתנאים שיקבע המפקד הצבאי לשם הבטחת התייצבותו של המסתנן לצורך יציאתו מהאזור או גירושו במועד שנקבע, או לצורך הליכים אחרים לפי צו זה או לפי כל דין או תחיקת בטחון.</w:t>
      </w:r>
    </w:p>
    <w:p w:rsidR="00017037" w:rsidRDefault="00017037" w:rsidP="000170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נוכח מפקד צבאי, כי המסתנן ששוחרר בערבות הפר או עומד להפר את תנאי שחרורו, רשאי הוא להורות בצו על החזרתו של המסתנן למשמורת.</w:t>
      </w:r>
    </w:p>
    <w:p w:rsidR="00017037" w:rsidRDefault="00017037" w:rsidP="0001703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הפר המסתנן את תנאי שחרורו, רשאי מפקד צבאי לצוות </w:t>
      </w:r>
      <w:r>
        <w:rPr>
          <w:rStyle w:val="default"/>
          <w:rFonts w:cs="FrankRuehl"/>
          <w:rtl/>
        </w:rPr>
        <w:t>–</w:t>
      </w:r>
    </w:p>
    <w:p w:rsidR="00017037" w:rsidRDefault="00017037" w:rsidP="000170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תשלום סכום הערבות, כולו או מקצתו, לקופת מפקדת האזור;</w:t>
      </w:r>
    </w:p>
    <w:p w:rsidR="00017037" w:rsidRDefault="00017037" w:rsidP="000170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חילוט העירבון, כולו או מקצתו, לטובת מפקדת האזור.</w:t>
      </w:r>
    </w:p>
    <w:p w:rsidR="00017037" w:rsidRPr="006836D9" w:rsidRDefault="00017037" w:rsidP="00017037">
      <w:pPr>
        <w:pStyle w:val="P00"/>
        <w:spacing w:before="0"/>
        <w:ind w:left="0" w:right="1134"/>
        <w:rPr>
          <w:rStyle w:val="default"/>
          <w:rFonts w:cs="FrankRuehl" w:hint="cs"/>
          <w:vanish/>
          <w:color w:val="FF0000"/>
          <w:sz w:val="20"/>
          <w:szCs w:val="20"/>
          <w:shd w:val="clear" w:color="auto" w:fill="FFFF99"/>
          <w:rtl/>
        </w:rPr>
      </w:pPr>
      <w:bookmarkStart w:id="15" w:name="Rov11"/>
      <w:r w:rsidRPr="006836D9">
        <w:rPr>
          <w:rStyle w:val="default"/>
          <w:rFonts w:cs="FrankRuehl" w:hint="cs"/>
          <w:vanish/>
          <w:color w:val="FF0000"/>
          <w:sz w:val="20"/>
          <w:szCs w:val="20"/>
          <w:shd w:val="clear" w:color="auto" w:fill="FFFF99"/>
          <w:rtl/>
        </w:rPr>
        <w:t>מיום 13.4.2010</w:t>
      </w:r>
    </w:p>
    <w:p w:rsidR="00017037" w:rsidRPr="006836D9" w:rsidRDefault="00017037" w:rsidP="00017037">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017037" w:rsidRPr="006836D9" w:rsidRDefault="00017037" w:rsidP="00017037">
      <w:pPr>
        <w:pStyle w:val="P00"/>
        <w:spacing w:before="0"/>
        <w:ind w:left="0" w:right="1134"/>
        <w:rPr>
          <w:rStyle w:val="default"/>
          <w:rFonts w:cs="FrankRuehl" w:hint="cs"/>
          <w:vanish/>
          <w:sz w:val="20"/>
          <w:szCs w:val="20"/>
          <w:shd w:val="clear" w:color="auto" w:fill="FFFF99"/>
          <w:rtl/>
        </w:rPr>
      </w:pPr>
      <w:hyperlink r:id="rId16"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5844</w:t>
      </w:r>
    </w:p>
    <w:p w:rsidR="00017037" w:rsidRPr="006836D9" w:rsidRDefault="00017037" w:rsidP="006836D9">
      <w:pPr>
        <w:pStyle w:val="P00"/>
        <w:spacing w:before="0"/>
        <w:ind w:left="0" w:right="1134"/>
        <w:rPr>
          <w:rStyle w:val="default"/>
          <w:rFonts w:cs="FrankRuehl" w:hint="cs"/>
          <w:sz w:val="2"/>
          <w:szCs w:val="2"/>
          <w:rtl/>
        </w:rPr>
      </w:pPr>
      <w:r w:rsidRPr="006836D9">
        <w:rPr>
          <w:rStyle w:val="default"/>
          <w:rFonts w:cs="FrankRuehl" w:hint="cs"/>
          <w:b/>
          <w:bCs/>
          <w:vanish/>
          <w:sz w:val="20"/>
          <w:szCs w:val="20"/>
          <w:shd w:val="clear" w:color="auto" w:fill="FFFF99"/>
          <w:rtl/>
        </w:rPr>
        <w:t>הוספת סעיף 6א</w:t>
      </w:r>
      <w:bookmarkEnd w:id="15"/>
    </w:p>
    <w:p w:rsidR="00AE705E" w:rsidRDefault="00AE705E" w:rsidP="00C13950">
      <w:pPr>
        <w:pStyle w:val="P00"/>
        <w:spacing w:before="72"/>
        <w:ind w:left="0" w:right="1134"/>
        <w:rPr>
          <w:rStyle w:val="default"/>
          <w:rFonts w:cs="FrankRuehl" w:hint="cs"/>
          <w:rtl/>
        </w:rPr>
      </w:pPr>
      <w:r>
        <w:rPr>
          <w:rFonts w:cs="Miriam"/>
          <w:lang w:val="he-IL"/>
        </w:rPr>
        <w:pict>
          <v:rect id="_x0000_s1268" style="position:absolute;left:0;text-align:left;margin-left:464.35pt;margin-top:7.1pt;width:75.05pt;height:20.85pt;z-index:251654144" o:allowincell="f" filled="f" stroked="f" strokecolor="lime" strokeweight=".25pt">
            <v:textbox style="mso-next-textbox:#_x0000_s1268" inset="0,0,0,0">
              <w:txbxContent>
                <w:p w:rsidR="00C13950" w:rsidRDefault="00C13950" w:rsidP="00C13950">
                  <w:pPr>
                    <w:spacing w:line="160" w:lineRule="exact"/>
                    <w:rPr>
                      <w:rFonts w:cs="Miriam" w:hint="cs"/>
                      <w:noProof/>
                      <w:sz w:val="18"/>
                      <w:szCs w:val="18"/>
                      <w:rtl/>
                    </w:rPr>
                  </w:pPr>
                  <w:r>
                    <w:rPr>
                      <w:rFonts w:cs="Miriam" w:hint="cs"/>
                      <w:sz w:val="18"/>
                      <w:szCs w:val="18"/>
                      <w:rtl/>
                    </w:rPr>
                    <w:t>תיקון מס' 2 (מס' 1650) תשס"ט-2009</w:t>
                  </w:r>
                </w:p>
              </w:txbxContent>
            </v:textbox>
            <w10:anchorlock/>
          </v:rect>
        </w:pict>
      </w:r>
      <w:r w:rsidR="009165E3">
        <w:rPr>
          <w:rStyle w:val="big-number"/>
          <w:rFonts w:cs="Miriam" w:hint="cs"/>
          <w:rtl/>
        </w:rPr>
        <w:t>7</w:t>
      </w:r>
      <w:r>
        <w:rPr>
          <w:rStyle w:val="big-number"/>
          <w:rFonts w:cs="FrankRuehl"/>
          <w:sz w:val="26"/>
          <w:szCs w:val="26"/>
          <w:rtl/>
        </w:rPr>
        <w:t>.</w:t>
      </w:r>
      <w:r>
        <w:rPr>
          <w:rStyle w:val="big-number"/>
          <w:rFonts w:cs="FrankRuehl"/>
          <w:sz w:val="26"/>
          <w:szCs w:val="26"/>
          <w:rtl/>
        </w:rPr>
        <w:tab/>
      </w:r>
      <w:r w:rsidR="00C13950">
        <w:rPr>
          <w:rStyle w:val="default"/>
          <w:rFonts w:cs="FrankRuehl" w:hint="cs"/>
          <w:rtl/>
        </w:rPr>
        <w:t>(בוטל)</w:t>
      </w:r>
      <w:r w:rsidR="009165E3">
        <w:rPr>
          <w:rStyle w:val="default"/>
          <w:rFonts w:cs="FrankRuehl" w:hint="cs"/>
          <w:rtl/>
        </w:rPr>
        <w:t>.</w:t>
      </w:r>
    </w:p>
    <w:p w:rsidR="006836D9" w:rsidRPr="006836D9" w:rsidRDefault="006836D9" w:rsidP="006836D9">
      <w:pPr>
        <w:pStyle w:val="P00"/>
        <w:spacing w:before="0"/>
        <w:ind w:left="0" w:right="1134"/>
        <w:rPr>
          <w:rStyle w:val="default"/>
          <w:rFonts w:cs="FrankRuehl" w:hint="cs"/>
          <w:vanish/>
          <w:color w:val="FF0000"/>
          <w:sz w:val="20"/>
          <w:szCs w:val="20"/>
          <w:shd w:val="clear" w:color="auto" w:fill="FFFF99"/>
          <w:rtl/>
        </w:rPr>
      </w:pPr>
      <w:bookmarkStart w:id="16" w:name="Rov12"/>
      <w:r w:rsidRPr="006836D9">
        <w:rPr>
          <w:rStyle w:val="default"/>
          <w:rFonts w:cs="FrankRuehl" w:hint="cs"/>
          <w:vanish/>
          <w:color w:val="FF0000"/>
          <w:sz w:val="20"/>
          <w:szCs w:val="20"/>
          <w:shd w:val="clear" w:color="auto" w:fill="FFFF99"/>
          <w:rtl/>
        </w:rPr>
        <w:t>מיום 13.4.2010</w:t>
      </w:r>
    </w:p>
    <w:p w:rsidR="006836D9" w:rsidRPr="006836D9" w:rsidRDefault="006836D9" w:rsidP="006836D9">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תיקון מס' 2 (מס' 1650) תשס"ט-2009</w:t>
      </w:r>
    </w:p>
    <w:p w:rsidR="006836D9" w:rsidRPr="006836D9" w:rsidRDefault="006836D9" w:rsidP="006836D9">
      <w:pPr>
        <w:pStyle w:val="P00"/>
        <w:spacing w:before="0"/>
        <w:ind w:left="0" w:right="1134"/>
        <w:rPr>
          <w:rStyle w:val="default"/>
          <w:rFonts w:cs="FrankRuehl" w:hint="cs"/>
          <w:vanish/>
          <w:sz w:val="20"/>
          <w:szCs w:val="20"/>
          <w:shd w:val="clear" w:color="auto" w:fill="FFFF99"/>
          <w:rtl/>
        </w:rPr>
      </w:pPr>
      <w:hyperlink r:id="rId17" w:history="1">
        <w:r w:rsidRPr="006836D9">
          <w:rPr>
            <w:rStyle w:val="Hyperlink"/>
            <w:rFonts w:cs="FrankRuehl" w:hint="cs"/>
            <w:vanish/>
            <w:szCs w:val="20"/>
            <w:shd w:val="clear" w:color="auto" w:fill="FFFF99"/>
            <w:rtl/>
          </w:rPr>
          <w:t>קובץ המנשרים מס' 233</w:t>
        </w:r>
      </w:hyperlink>
      <w:r w:rsidRPr="006836D9">
        <w:rPr>
          <w:rStyle w:val="default"/>
          <w:rFonts w:cs="FrankRuehl" w:hint="cs"/>
          <w:vanish/>
          <w:sz w:val="20"/>
          <w:szCs w:val="20"/>
          <w:shd w:val="clear" w:color="auto" w:fill="FFFF99"/>
          <w:rtl/>
        </w:rPr>
        <w:t xml:space="preserve"> מחודש נובמבר 2009 עמ' 5844</w:t>
      </w:r>
    </w:p>
    <w:p w:rsidR="006836D9" w:rsidRPr="006836D9" w:rsidRDefault="006836D9" w:rsidP="006836D9">
      <w:pPr>
        <w:pStyle w:val="P00"/>
        <w:spacing w:before="0"/>
        <w:ind w:left="0" w:right="1134"/>
        <w:rPr>
          <w:rStyle w:val="default"/>
          <w:rFonts w:cs="FrankRuehl" w:hint="cs"/>
          <w:vanish/>
          <w:sz w:val="20"/>
          <w:szCs w:val="20"/>
          <w:shd w:val="clear" w:color="auto" w:fill="FFFF99"/>
          <w:rtl/>
        </w:rPr>
      </w:pPr>
      <w:r w:rsidRPr="006836D9">
        <w:rPr>
          <w:rStyle w:val="default"/>
          <w:rFonts w:cs="FrankRuehl" w:hint="cs"/>
          <w:b/>
          <w:bCs/>
          <w:vanish/>
          <w:sz w:val="20"/>
          <w:szCs w:val="20"/>
          <w:shd w:val="clear" w:color="auto" w:fill="FFFF99"/>
          <w:rtl/>
        </w:rPr>
        <w:t>ביטול סעיף 7</w:t>
      </w:r>
    </w:p>
    <w:p w:rsidR="006836D9" w:rsidRPr="006836D9" w:rsidRDefault="006836D9" w:rsidP="006836D9">
      <w:pPr>
        <w:pStyle w:val="P00"/>
        <w:spacing w:before="0"/>
        <w:ind w:left="0" w:right="1134"/>
        <w:rPr>
          <w:rStyle w:val="default"/>
          <w:rFonts w:cs="FrankRuehl" w:hint="cs"/>
          <w:vanish/>
          <w:sz w:val="20"/>
          <w:szCs w:val="20"/>
          <w:shd w:val="clear" w:color="auto" w:fill="FFFF99"/>
          <w:rtl/>
        </w:rPr>
      </w:pPr>
      <w:r w:rsidRPr="006836D9">
        <w:rPr>
          <w:rStyle w:val="default"/>
          <w:rFonts w:cs="FrankRuehl" w:hint="cs"/>
          <w:vanish/>
          <w:sz w:val="20"/>
          <w:szCs w:val="20"/>
          <w:shd w:val="clear" w:color="auto" w:fill="FFFF99"/>
          <w:rtl/>
        </w:rPr>
        <w:t>הנוסח הקודם:</w:t>
      </w:r>
    </w:p>
    <w:p w:rsidR="006836D9" w:rsidRPr="006836D9" w:rsidRDefault="006836D9" w:rsidP="006836D9">
      <w:pPr>
        <w:pStyle w:val="P00"/>
        <w:spacing w:before="20"/>
        <w:ind w:left="0" w:right="1134"/>
        <w:rPr>
          <w:rStyle w:val="big-number"/>
          <w:rFonts w:cs="Miriam" w:hint="cs"/>
          <w:strike/>
          <w:vanish/>
          <w:sz w:val="16"/>
          <w:szCs w:val="16"/>
          <w:shd w:val="clear" w:color="auto" w:fill="FFFF99"/>
          <w:rtl/>
        </w:rPr>
      </w:pPr>
      <w:r w:rsidRPr="006836D9">
        <w:rPr>
          <w:rStyle w:val="big-number"/>
          <w:rFonts w:cs="Miriam" w:hint="cs"/>
          <w:strike/>
          <w:vanish/>
          <w:sz w:val="16"/>
          <w:szCs w:val="16"/>
          <w:shd w:val="clear" w:color="auto" w:fill="FFFF99"/>
          <w:rtl/>
        </w:rPr>
        <w:t>קבלת רשיון במרמה</w:t>
      </w:r>
    </w:p>
    <w:p w:rsidR="006836D9" w:rsidRPr="006836D9" w:rsidRDefault="006836D9" w:rsidP="006836D9">
      <w:pPr>
        <w:pStyle w:val="P00"/>
        <w:spacing w:before="0"/>
        <w:ind w:left="0" w:right="1134"/>
        <w:rPr>
          <w:rStyle w:val="default"/>
          <w:rFonts w:cs="FrankRuehl" w:hint="cs"/>
          <w:strike/>
          <w:sz w:val="2"/>
          <w:szCs w:val="2"/>
          <w:shd w:val="clear" w:color="auto" w:fill="FFFF99"/>
          <w:rtl/>
        </w:rPr>
      </w:pPr>
      <w:r w:rsidRPr="006836D9">
        <w:rPr>
          <w:rStyle w:val="default"/>
          <w:rFonts w:cs="FrankRuehl" w:hint="cs"/>
          <w:strike/>
          <w:vanish/>
          <w:sz w:val="22"/>
          <w:szCs w:val="22"/>
          <w:shd w:val="clear" w:color="auto" w:fill="FFFF99"/>
          <w:rtl/>
        </w:rPr>
        <w:t>7</w:t>
      </w:r>
      <w:r w:rsidRPr="006836D9">
        <w:rPr>
          <w:rStyle w:val="default"/>
          <w:rFonts w:cs="FrankRuehl"/>
          <w:strike/>
          <w:vanish/>
          <w:sz w:val="22"/>
          <w:szCs w:val="22"/>
          <w:shd w:val="clear" w:color="auto" w:fill="FFFF99"/>
          <w:rtl/>
        </w:rPr>
        <w:t>.</w:t>
      </w:r>
      <w:r w:rsidRPr="006836D9">
        <w:rPr>
          <w:rStyle w:val="default"/>
          <w:rFonts w:cs="FrankRuehl"/>
          <w:strike/>
          <w:vanish/>
          <w:sz w:val="22"/>
          <w:szCs w:val="22"/>
          <w:shd w:val="clear" w:color="auto" w:fill="FFFF99"/>
          <w:rtl/>
        </w:rPr>
        <w:tab/>
      </w:r>
      <w:r w:rsidRPr="006836D9">
        <w:rPr>
          <w:rStyle w:val="default"/>
          <w:rFonts w:cs="FrankRuehl" w:hint="cs"/>
          <w:strike/>
          <w:vanish/>
          <w:sz w:val="22"/>
          <w:szCs w:val="22"/>
          <w:shd w:val="clear" w:color="auto" w:fill="FFFF99"/>
          <w:rtl/>
        </w:rPr>
        <w:t>מי שנכנס לאזור לאחר היום הקובע על-פי רשיון שהושג על סמך הצהרה כוזבת, רואים אותו כמסתנן.</w:t>
      </w:r>
      <w:bookmarkEnd w:id="16"/>
    </w:p>
    <w:p w:rsidR="00AE705E" w:rsidRDefault="00AE705E" w:rsidP="007F58C4">
      <w:pPr>
        <w:pStyle w:val="P00"/>
        <w:spacing w:before="72"/>
        <w:ind w:left="0" w:right="1134"/>
        <w:rPr>
          <w:rStyle w:val="default"/>
          <w:rFonts w:cs="FrankRuehl" w:hint="cs"/>
          <w:rtl/>
        </w:rPr>
      </w:pPr>
      <w:bookmarkStart w:id="17" w:name="Seif7"/>
      <w:bookmarkEnd w:id="17"/>
      <w:r>
        <w:rPr>
          <w:rFonts w:cs="Miriam"/>
          <w:lang w:val="he-IL"/>
        </w:rPr>
        <w:pict>
          <v:rect id="_x0000_s1269" style="position:absolute;left:0;text-align:left;margin-left:464.35pt;margin-top:7.1pt;width:75.05pt;height:10.5pt;z-index:251655168" o:allowincell="f" filled="f" stroked="f" strokecolor="lime" strokeweight=".25pt">
            <v:textbox style="mso-next-textbox:#_x0000_s1269" inset="0,0,0,0">
              <w:txbxContent>
                <w:p w:rsidR="00017037" w:rsidRDefault="00017037" w:rsidP="00AE705E">
                  <w:pPr>
                    <w:spacing w:line="160" w:lineRule="exact"/>
                    <w:rPr>
                      <w:rFonts w:cs="Miriam" w:hint="cs"/>
                      <w:noProof/>
                      <w:sz w:val="18"/>
                      <w:szCs w:val="18"/>
                      <w:rtl/>
                    </w:rPr>
                  </w:pPr>
                  <w:r>
                    <w:rPr>
                      <w:rFonts w:cs="Miriam" w:hint="cs"/>
                      <w:sz w:val="18"/>
                      <w:szCs w:val="18"/>
                      <w:rtl/>
                    </w:rPr>
                    <w:t>ביטול</w:t>
                  </w:r>
                </w:p>
              </w:txbxContent>
            </v:textbox>
            <w10:anchorlock/>
          </v:rect>
        </w:pict>
      </w:r>
      <w:r w:rsidR="009165E3">
        <w:rPr>
          <w:rStyle w:val="big-number"/>
          <w:rFonts w:cs="Miriam" w:hint="cs"/>
          <w:rtl/>
        </w:rPr>
        <w:t>8</w:t>
      </w:r>
      <w:r>
        <w:rPr>
          <w:rStyle w:val="big-number"/>
          <w:rFonts w:cs="FrankRuehl"/>
          <w:sz w:val="26"/>
          <w:szCs w:val="26"/>
          <w:rtl/>
        </w:rPr>
        <w:t>.</w:t>
      </w:r>
      <w:r>
        <w:rPr>
          <w:rStyle w:val="big-number"/>
          <w:rFonts w:cs="FrankRuehl"/>
          <w:sz w:val="26"/>
          <w:szCs w:val="26"/>
          <w:rtl/>
        </w:rPr>
        <w:tab/>
      </w:r>
      <w:r w:rsidR="007F58C4">
        <w:rPr>
          <w:rStyle w:val="default"/>
          <w:rFonts w:cs="FrankRuehl" w:hint="cs"/>
          <w:rtl/>
        </w:rPr>
        <w:t xml:space="preserve">הצו בדבר מניעת הסתננות (יהודה והשומרון) (מס' 125), תשכ"ז-1967 </w:t>
      </w:r>
      <w:r w:rsidR="007F58C4">
        <w:rPr>
          <w:rStyle w:val="default"/>
          <w:rFonts w:cs="FrankRuehl"/>
          <w:rtl/>
        </w:rPr>
        <w:t>–</w:t>
      </w:r>
      <w:r w:rsidR="007F58C4">
        <w:rPr>
          <w:rStyle w:val="default"/>
          <w:rFonts w:cs="FrankRuehl" w:hint="cs"/>
          <w:rtl/>
        </w:rPr>
        <w:t xml:space="preserve"> בטל</w:t>
      </w:r>
      <w:r w:rsidR="009165E3">
        <w:rPr>
          <w:rStyle w:val="default"/>
          <w:rFonts w:cs="FrankRuehl" w:hint="cs"/>
          <w:rtl/>
        </w:rPr>
        <w:t>.</w:t>
      </w:r>
    </w:p>
    <w:p w:rsidR="00AE705E" w:rsidRDefault="00AE705E" w:rsidP="007F58C4">
      <w:pPr>
        <w:pStyle w:val="P00"/>
        <w:spacing w:before="72"/>
        <w:ind w:left="0" w:right="1134"/>
        <w:rPr>
          <w:rStyle w:val="default"/>
          <w:rFonts w:cs="FrankRuehl" w:hint="cs"/>
          <w:rtl/>
        </w:rPr>
      </w:pPr>
      <w:bookmarkStart w:id="18" w:name="Seif8"/>
      <w:bookmarkEnd w:id="18"/>
      <w:r>
        <w:rPr>
          <w:rFonts w:cs="Miriam"/>
          <w:lang w:val="he-IL"/>
        </w:rPr>
        <w:pict>
          <v:rect id="_x0000_s1270" style="position:absolute;left:0;text-align:left;margin-left:464.35pt;margin-top:7.1pt;width:75.05pt;height:13.15pt;z-index:251656192" o:allowincell="f" filled="f" stroked="f" strokecolor="lime" strokeweight=".25pt">
            <v:textbox style="mso-next-textbox:#_x0000_s1270" inset="0,0,0,0">
              <w:txbxContent>
                <w:p w:rsidR="00017037" w:rsidRDefault="00017037" w:rsidP="00AE705E">
                  <w:pPr>
                    <w:spacing w:line="160" w:lineRule="exact"/>
                    <w:rPr>
                      <w:rFonts w:cs="Miriam" w:hint="cs"/>
                      <w:noProof/>
                      <w:sz w:val="18"/>
                      <w:szCs w:val="18"/>
                      <w:rtl/>
                    </w:rPr>
                  </w:pPr>
                  <w:r>
                    <w:rPr>
                      <w:rFonts w:cs="Miriam" w:hint="cs"/>
                      <w:sz w:val="18"/>
                      <w:szCs w:val="18"/>
                      <w:rtl/>
                    </w:rPr>
                    <w:t>תחילת תוקף</w:t>
                  </w:r>
                </w:p>
              </w:txbxContent>
            </v:textbox>
            <w10:anchorlock/>
          </v:rect>
        </w:pict>
      </w:r>
      <w:r w:rsidR="009165E3">
        <w:rPr>
          <w:rStyle w:val="big-number"/>
          <w:rFonts w:cs="Miriam" w:hint="cs"/>
          <w:rtl/>
        </w:rPr>
        <w:t>9</w:t>
      </w:r>
      <w:r>
        <w:rPr>
          <w:rStyle w:val="big-number"/>
          <w:rFonts w:cs="FrankRuehl"/>
          <w:sz w:val="26"/>
          <w:szCs w:val="26"/>
          <w:rtl/>
        </w:rPr>
        <w:t>.</w:t>
      </w:r>
      <w:r>
        <w:rPr>
          <w:rStyle w:val="big-number"/>
          <w:rFonts w:cs="FrankRuehl"/>
          <w:sz w:val="26"/>
          <w:szCs w:val="26"/>
          <w:rtl/>
        </w:rPr>
        <w:tab/>
      </w:r>
      <w:r w:rsidR="007F58C4">
        <w:rPr>
          <w:rStyle w:val="default"/>
          <w:rFonts w:cs="FrankRuehl" w:hint="cs"/>
          <w:rtl/>
        </w:rPr>
        <w:t>תחילתו של צו זה ביום כ"ט בתמוז תשכ"ט (15 ביולי 1969)</w:t>
      </w:r>
      <w:r w:rsidR="009165E3">
        <w:rPr>
          <w:rStyle w:val="default"/>
          <w:rFonts w:cs="FrankRuehl" w:hint="cs"/>
          <w:rtl/>
        </w:rPr>
        <w:t>.</w:t>
      </w:r>
    </w:p>
    <w:p w:rsidR="00AE705E" w:rsidRDefault="00AE705E" w:rsidP="007F58C4">
      <w:pPr>
        <w:pStyle w:val="P00"/>
        <w:spacing w:before="72"/>
        <w:ind w:left="0" w:right="1134"/>
        <w:rPr>
          <w:rStyle w:val="default"/>
          <w:rFonts w:cs="FrankRuehl" w:hint="cs"/>
          <w:rtl/>
        </w:rPr>
      </w:pPr>
      <w:bookmarkStart w:id="19" w:name="Seif9"/>
      <w:bookmarkEnd w:id="19"/>
      <w:r>
        <w:rPr>
          <w:rFonts w:cs="Miriam"/>
          <w:lang w:val="he-IL"/>
        </w:rPr>
        <w:pict>
          <v:rect id="_x0000_s1271" style="position:absolute;left:0;text-align:left;margin-left:464.35pt;margin-top:7.1pt;width:75.05pt;height:15.65pt;z-index:251657216" o:allowincell="f" filled="f" stroked="f" strokecolor="lime" strokeweight=".25pt">
            <v:textbox style="mso-next-textbox:#_x0000_s1271" inset="0,0,0,0">
              <w:txbxContent>
                <w:p w:rsidR="00017037" w:rsidRDefault="00017037" w:rsidP="00AE705E">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F58C4">
        <w:rPr>
          <w:rStyle w:val="default"/>
          <w:rFonts w:cs="FrankRuehl" w:hint="cs"/>
          <w:rtl/>
        </w:rPr>
        <w:t>צו זה ייקרא "צו בדבר מניעת הסתננות (יהודה והשומרון) (מס' 329), תשכ"ט-1969</w:t>
      </w:r>
      <w:r w:rsidR="009165E3">
        <w:rPr>
          <w:rStyle w:val="default"/>
          <w:rFonts w:cs="FrankRuehl" w:hint="cs"/>
          <w:rtl/>
        </w:rPr>
        <w:t>.</w:t>
      </w:r>
    </w:p>
    <w:p w:rsidR="0012073C" w:rsidRDefault="0012073C">
      <w:pPr>
        <w:pStyle w:val="P00"/>
        <w:spacing w:before="72"/>
        <w:ind w:left="0" w:right="1134"/>
        <w:rPr>
          <w:rStyle w:val="default"/>
          <w:rFonts w:cs="FrankRuehl" w:hint="cs"/>
          <w:rtl/>
        </w:rPr>
      </w:pPr>
    </w:p>
    <w:p w:rsidR="0012073C" w:rsidRDefault="0012073C">
      <w:pPr>
        <w:pStyle w:val="P00"/>
        <w:spacing w:before="72"/>
        <w:ind w:left="0" w:right="1134"/>
        <w:rPr>
          <w:rStyle w:val="default"/>
          <w:rFonts w:cs="FrankRuehl" w:hint="cs"/>
          <w:rtl/>
        </w:rPr>
      </w:pPr>
    </w:p>
    <w:p w:rsidR="0012073C" w:rsidRDefault="007F58C4" w:rsidP="007F58C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י"ג</w:t>
      </w:r>
      <w:r w:rsidR="00E869F7">
        <w:rPr>
          <w:rStyle w:val="default"/>
          <w:rFonts w:cs="FrankRuehl" w:hint="cs"/>
          <w:rtl/>
        </w:rPr>
        <w:t xml:space="preserve"> בתמוז</w:t>
      </w:r>
      <w:r w:rsidR="008D2E33">
        <w:rPr>
          <w:rStyle w:val="default"/>
          <w:rFonts w:cs="FrankRuehl" w:hint="cs"/>
          <w:rtl/>
        </w:rPr>
        <w:t xml:space="preserve"> תשכ"</w:t>
      </w:r>
      <w:r>
        <w:rPr>
          <w:rStyle w:val="default"/>
          <w:rFonts w:cs="FrankRuehl" w:hint="cs"/>
          <w:rtl/>
        </w:rPr>
        <w:t>ט</w:t>
      </w:r>
      <w:r w:rsidR="0012073C">
        <w:rPr>
          <w:rStyle w:val="default"/>
          <w:rFonts w:cs="FrankRuehl" w:hint="cs"/>
          <w:rtl/>
        </w:rPr>
        <w:t xml:space="preserve"> (</w:t>
      </w:r>
      <w:r>
        <w:rPr>
          <w:rStyle w:val="default"/>
          <w:rFonts w:cs="FrankRuehl" w:hint="cs"/>
          <w:rtl/>
        </w:rPr>
        <w:t>29 ביוני 1969</w:t>
      </w:r>
      <w:r w:rsidR="0012073C">
        <w:rPr>
          <w:rStyle w:val="default"/>
          <w:rFonts w:cs="FrankRuehl" w:hint="cs"/>
          <w:rtl/>
        </w:rPr>
        <w:t>)</w:t>
      </w:r>
      <w:r w:rsidR="0012073C">
        <w:rPr>
          <w:rStyle w:val="default"/>
          <w:rFonts w:cs="FrankRuehl" w:hint="cs"/>
          <w:rtl/>
        </w:rPr>
        <w:tab/>
      </w:r>
      <w:r>
        <w:rPr>
          <w:rFonts w:cs="FrankRuehl" w:hint="cs"/>
          <w:rtl/>
        </w:rPr>
        <w:t>רפאל ורדי</w:t>
      </w:r>
      <w:r w:rsidR="0012073C">
        <w:rPr>
          <w:rFonts w:cs="FrankRuehl" w:hint="cs"/>
          <w:rtl/>
        </w:rPr>
        <w:t xml:space="preserve">, </w:t>
      </w:r>
      <w:r>
        <w:rPr>
          <w:rFonts w:cs="FrankRuehl" w:hint="cs"/>
          <w:rtl/>
        </w:rPr>
        <w:t>תת-</w:t>
      </w:r>
      <w:r w:rsidR="0012073C">
        <w:rPr>
          <w:rFonts w:cs="FrankRuehl" w:hint="cs"/>
          <w:rtl/>
        </w:rPr>
        <w:t>אלוף</w:t>
      </w:r>
    </w:p>
    <w:p w:rsidR="0012073C" w:rsidRDefault="008D2E33" w:rsidP="007F58C4">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12073C">
        <w:rPr>
          <w:rFonts w:cs="FrankRuehl" w:hint="cs"/>
          <w:sz w:val="22"/>
          <w:szCs w:val="22"/>
          <w:rtl/>
        </w:rPr>
        <w:t xml:space="preserve">מפקד אזור </w:t>
      </w:r>
      <w:r w:rsidR="007F58C4">
        <w:rPr>
          <w:rFonts w:cs="FrankRuehl" w:hint="cs"/>
          <w:sz w:val="22"/>
          <w:szCs w:val="22"/>
          <w:rtl/>
        </w:rPr>
        <w:t>יהודה והשומרון</w:t>
      </w:r>
    </w:p>
    <w:p w:rsidR="00712470" w:rsidRDefault="00712470">
      <w:pPr>
        <w:pStyle w:val="sig-0"/>
        <w:tabs>
          <w:tab w:val="clear" w:pos="4820"/>
          <w:tab w:val="center" w:pos="5670"/>
        </w:tabs>
        <w:ind w:left="0" w:right="1134"/>
        <w:rPr>
          <w:rFonts w:cs="FrankRuehl" w:hint="cs"/>
          <w:sz w:val="26"/>
          <w:rtl/>
        </w:rPr>
      </w:pPr>
    </w:p>
    <w:p w:rsidR="00ED6467" w:rsidRDefault="00ED6467">
      <w:pPr>
        <w:pStyle w:val="sig-0"/>
        <w:tabs>
          <w:tab w:val="clear" w:pos="4820"/>
          <w:tab w:val="center" w:pos="5670"/>
        </w:tabs>
        <w:ind w:left="0" w:right="1134"/>
        <w:rPr>
          <w:rFonts w:cs="FrankRuehl" w:hint="cs"/>
          <w:sz w:val="26"/>
          <w:rtl/>
        </w:rPr>
      </w:pPr>
    </w:p>
    <w:p w:rsidR="00D827DB" w:rsidRDefault="00D827DB">
      <w:pPr>
        <w:pStyle w:val="sig-0"/>
        <w:ind w:left="0" w:right="1134"/>
        <w:rPr>
          <w:rFonts w:cs="FrankRuehl"/>
          <w:sz w:val="26"/>
          <w:rtl/>
        </w:rPr>
      </w:pPr>
    </w:p>
    <w:p w:rsidR="00D827DB" w:rsidRDefault="00D827DB">
      <w:pPr>
        <w:pStyle w:val="sig-0"/>
        <w:ind w:left="0" w:right="1134"/>
        <w:rPr>
          <w:rFonts w:cs="FrankRuehl"/>
          <w:sz w:val="26"/>
          <w:rtl/>
        </w:rPr>
      </w:pPr>
    </w:p>
    <w:p w:rsidR="00D827DB" w:rsidRDefault="00D827DB" w:rsidP="00D827DB">
      <w:pPr>
        <w:pStyle w:val="sig-0"/>
        <w:ind w:left="0" w:right="1134"/>
        <w:jc w:val="center"/>
        <w:rPr>
          <w:rFonts w:cs="David"/>
          <w:color w:val="0000FF"/>
          <w:sz w:val="26"/>
          <w:szCs w:val="24"/>
          <w:u w:val="single"/>
          <w:rtl/>
        </w:rPr>
      </w:pPr>
      <w:hyperlink r:id="rId18" w:history="1">
        <w:r>
          <w:rPr>
            <w:rFonts w:cs="David"/>
            <w:color w:val="0000FF"/>
            <w:sz w:val="26"/>
            <w:szCs w:val="24"/>
            <w:u w:val="single"/>
            <w:rtl/>
          </w:rPr>
          <w:t>הודעה למנויים על עריכה ושינויים במסמכי פסיקה, חקיקה ועוד באתר נבו - הקש כאן</w:t>
        </w:r>
      </w:hyperlink>
    </w:p>
    <w:p w:rsidR="0012073C" w:rsidRPr="00D827DB" w:rsidRDefault="0012073C" w:rsidP="00D827DB">
      <w:pPr>
        <w:pStyle w:val="sig-0"/>
        <w:ind w:left="0" w:right="1134"/>
        <w:jc w:val="center"/>
        <w:rPr>
          <w:rFonts w:cs="David" w:hint="cs"/>
          <w:color w:val="0000FF"/>
          <w:sz w:val="26"/>
          <w:szCs w:val="24"/>
          <w:u w:val="single"/>
          <w:rtl/>
        </w:rPr>
      </w:pPr>
    </w:p>
    <w:sectPr w:rsidR="0012073C" w:rsidRPr="00D827DB">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1715" w:rsidRDefault="009E1715">
      <w:r>
        <w:separator/>
      </w:r>
    </w:p>
  </w:endnote>
  <w:endnote w:type="continuationSeparator" w:id="0">
    <w:p w:rsidR="009E1715" w:rsidRDefault="009E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037" w:rsidRDefault="0001703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17037" w:rsidRDefault="0001703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17037" w:rsidRDefault="0001703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27DB">
      <w:rPr>
        <w:rFonts w:cs="TopType Jerushalmi"/>
        <w:noProof/>
        <w:color w:val="000000"/>
        <w:sz w:val="14"/>
        <w:szCs w:val="14"/>
      </w:rPr>
      <w:t>Z:\000-law\yael\2015\2015-02-23\666_024.doc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037" w:rsidRDefault="0001703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27DB">
      <w:rPr>
        <w:rFonts w:hAnsi="FrankRuehl" w:cs="FrankRuehl"/>
        <w:noProof/>
        <w:sz w:val="24"/>
        <w:szCs w:val="24"/>
        <w:rtl/>
      </w:rPr>
      <w:t>3</w:t>
    </w:r>
    <w:r>
      <w:rPr>
        <w:rFonts w:hAnsi="FrankRuehl" w:cs="FrankRuehl"/>
        <w:sz w:val="24"/>
        <w:szCs w:val="24"/>
        <w:rtl/>
      </w:rPr>
      <w:fldChar w:fldCharType="end"/>
    </w:r>
  </w:p>
  <w:p w:rsidR="00017037" w:rsidRDefault="0001703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17037" w:rsidRDefault="0001703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27DB">
      <w:rPr>
        <w:rFonts w:cs="TopType Jerushalmi"/>
        <w:noProof/>
        <w:color w:val="000000"/>
        <w:sz w:val="14"/>
        <w:szCs w:val="14"/>
      </w:rPr>
      <w:t>Z:\000-law\yael\2015\2015-02-23\666_024.doc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1715" w:rsidRDefault="009E1715">
      <w:pPr>
        <w:pStyle w:val="a5"/>
        <w:rPr>
          <w:rFonts w:cs="David"/>
          <w:sz w:val="24"/>
          <w:szCs w:val="24"/>
        </w:rPr>
      </w:pPr>
      <w:r>
        <w:separator/>
      </w:r>
    </w:p>
  </w:footnote>
  <w:footnote w:type="continuationSeparator" w:id="0">
    <w:p w:rsidR="009E1715" w:rsidRDefault="009E1715">
      <w:r>
        <w:continuationSeparator/>
      </w:r>
    </w:p>
  </w:footnote>
  <w:footnote w:id="1">
    <w:p w:rsidR="00017037" w:rsidRDefault="00017037" w:rsidP="00712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12470">
          <w:rPr>
            <w:rStyle w:val="Hyperlink"/>
            <w:rFonts w:cs="FrankRuehl" w:hint="eastAsia"/>
            <w:rtl/>
          </w:rPr>
          <w:t>קובץ</w:t>
        </w:r>
        <w:r w:rsidRPr="00712470">
          <w:rPr>
            <w:rStyle w:val="Hyperlink"/>
            <w:rFonts w:cs="FrankRuehl"/>
            <w:rtl/>
          </w:rPr>
          <w:t xml:space="preserve"> המנשרים מס' </w:t>
        </w:r>
        <w:r w:rsidRPr="00712470">
          <w:rPr>
            <w:rStyle w:val="Hyperlink"/>
            <w:rFonts w:cs="FrankRuehl" w:hint="cs"/>
            <w:rtl/>
          </w:rPr>
          <w:t>19</w:t>
        </w:r>
      </w:hyperlink>
      <w:r>
        <w:rPr>
          <w:rFonts w:cs="FrankRuehl" w:hint="cs"/>
          <w:rtl/>
        </w:rPr>
        <w:t xml:space="preserve"> מיום 20.10.1969 עמ' 665.</w:t>
      </w:r>
    </w:p>
    <w:p w:rsidR="00017037" w:rsidRDefault="00017037" w:rsidP="007F58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E02B2">
        <w:rPr>
          <w:rFonts w:cs="FrankRuehl" w:hint="cs"/>
          <w:rtl/>
        </w:rPr>
        <w:t xml:space="preserve">תוקן </w:t>
      </w:r>
      <w:hyperlink r:id="rId2" w:history="1">
        <w:r w:rsidRPr="00BA5414">
          <w:rPr>
            <w:rStyle w:val="Hyperlink"/>
            <w:rFonts w:cs="FrankRuehl" w:hint="cs"/>
            <w:rtl/>
          </w:rPr>
          <w:t>קובץ המנשרים מס' 46</w:t>
        </w:r>
      </w:hyperlink>
      <w:r w:rsidRPr="00FE02B2">
        <w:rPr>
          <w:rFonts w:cs="FrankRuehl" w:hint="cs"/>
          <w:rtl/>
        </w:rPr>
        <w:t xml:space="preserve"> מיום </w:t>
      </w:r>
      <w:r>
        <w:rPr>
          <w:rFonts w:cs="FrankRuehl" w:hint="cs"/>
          <w:rtl/>
        </w:rPr>
        <w:t>31.8.1981</w:t>
      </w:r>
      <w:r w:rsidRPr="00FE02B2">
        <w:rPr>
          <w:rFonts w:cs="FrankRuehl" w:hint="cs"/>
          <w:rtl/>
        </w:rPr>
        <w:t xml:space="preserve"> עמ' </w:t>
      </w:r>
      <w:r>
        <w:rPr>
          <w:rFonts w:cs="FrankRuehl" w:hint="cs"/>
          <w:rtl/>
        </w:rPr>
        <w:t>320</w:t>
      </w:r>
      <w:r w:rsidRPr="00FE02B2">
        <w:rPr>
          <w:rFonts w:cs="FrankRuehl" w:hint="cs"/>
          <w:rtl/>
        </w:rPr>
        <w:t xml:space="preserve"> </w:t>
      </w:r>
      <w:r w:rsidRPr="00FE02B2">
        <w:rPr>
          <w:rFonts w:cs="FrankRuehl"/>
          <w:rtl/>
        </w:rPr>
        <w:t>–</w:t>
      </w:r>
      <w:r w:rsidRPr="00FE02B2">
        <w:rPr>
          <w:rFonts w:cs="FrankRuehl" w:hint="cs"/>
          <w:rtl/>
        </w:rPr>
        <w:t xml:space="preserve"> תיקון מס' 1 (מס' </w:t>
      </w:r>
      <w:r>
        <w:rPr>
          <w:rFonts w:cs="FrankRuehl" w:hint="cs"/>
          <w:rtl/>
        </w:rPr>
        <w:t>831</w:t>
      </w:r>
      <w:r w:rsidRPr="00FE02B2">
        <w:rPr>
          <w:rFonts w:cs="FrankRuehl" w:hint="cs"/>
          <w:rtl/>
        </w:rPr>
        <w:t>)</w:t>
      </w:r>
      <w:r>
        <w:rPr>
          <w:rFonts w:cs="FrankRuehl" w:hint="cs"/>
          <w:rtl/>
        </w:rPr>
        <w:t xml:space="preserve"> תש"ם-1980</w:t>
      </w:r>
      <w:r w:rsidRPr="00FE02B2">
        <w:rPr>
          <w:rFonts w:cs="FrankRuehl" w:hint="cs"/>
          <w:rtl/>
        </w:rPr>
        <w:t>; תחילתו ביום</w:t>
      </w:r>
      <w:r>
        <w:rPr>
          <w:rFonts w:cs="FrankRuehl" w:hint="cs"/>
          <w:rtl/>
        </w:rPr>
        <w:t xml:space="preserve"> 18.3.1980</w:t>
      </w:r>
      <w:r w:rsidRPr="00FE02B2">
        <w:rPr>
          <w:rFonts w:cs="FrankRuehl" w:hint="cs"/>
          <w:rtl/>
        </w:rPr>
        <w:t>.</w:t>
      </w:r>
    </w:p>
    <w:p w:rsidR="00017037" w:rsidRDefault="00017037" w:rsidP="007F58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F74F5E">
          <w:rPr>
            <w:rStyle w:val="Hyperlink"/>
            <w:rFonts w:cs="FrankRuehl" w:hint="cs"/>
            <w:rtl/>
          </w:rPr>
          <w:t>קובץ המנשרים מס' 233</w:t>
        </w:r>
      </w:hyperlink>
      <w:r>
        <w:rPr>
          <w:rFonts w:cs="FrankRuehl" w:hint="cs"/>
          <w:rtl/>
        </w:rPr>
        <w:t xml:space="preserve"> מחודש נובמבר 2009 עמ' 5843 </w:t>
      </w:r>
      <w:r>
        <w:rPr>
          <w:rFonts w:cs="FrankRuehl"/>
          <w:rtl/>
        </w:rPr>
        <w:t>–</w:t>
      </w:r>
      <w:r>
        <w:rPr>
          <w:rFonts w:cs="FrankRuehl" w:hint="cs"/>
          <w:rtl/>
        </w:rPr>
        <w:t xml:space="preserve"> תיקון מס' 2 (מס' 1650) תשס"ט-2009; תחילתו ביום 13.4.2010.</w:t>
      </w:r>
    </w:p>
    <w:p w:rsidR="00E8070F" w:rsidRDefault="00E8070F" w:rsidP="00E807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בוטל </w:t>
      </w:r>
      <w:hyperlink r:id="rId4" w:history="1">
        <w:r w:rsidRPr="00AC41E7">
          <w:rPr>
            <w:rStyle w:val="Hyperlink"/>
            <w:rFonts w:cs="FrankRuehl" w:hint="cs"/>
            <w:rtl/>
          </w:rPr>
          <w:t>קובץ המנשרים מס' 234</w:t>
        </w:r>
      </w:hyperlink>
      <w:r>
        <w:rPr>
          <w:rFonts w:cs="FrankRuehl" w:hint="cs"/>
          <w:rtl/>
        </w:rPr>
        <w:t xml:space="preserve"> מחודש דצמבר 2009 עמ' 5911 כחלק מהצו בדבר הוראות ביטחון [נוסח משולב] (יהודה והשומרון) (מס' 1651), תש"ע-2009; תחילתו ביום 2.5.2010.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037" w:rsidRDefault="0001703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17037" w:rsidRDefault="0001703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17037" w:rsidRDefault="0001703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037" w:rsidRDefault="00017037" w:rsidP="0071247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מניעת הסתננות (יהודה והשומרון) (מס' 329), תשכ"ט-1969</w:t>
    </w:r>
  </w:p>
  <w:p w:rsidR="00017037" w:rsidRDefault="0001703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17037" w:rsidRDefault="0001703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72679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667"/>
    <w:rsid w:val="00017037"/>
    <w:rsid w:val="00032BC4"/>
    <w:rsid w:val="00062A2E"/>
    <w:rsid w:val="000A3EC4"/>
    <w:rsid w:val="000B05D8"/>
    <w:rsid w:val="000D25F4"/>
    <w:rsid w:val="000E155D"/>
    <w:rsid w:val="00105863"/>
    <w:rsid w:val="0011149E"/>
    <w:rsid w:val="0012073C"/>
    <w:rsid w:val="0013461F"/>
    <w:rsid w:val="001D3A82"/>
    <w:rsid w:val="001D67C8"/>
    <w:rsid w:val="001F369B"/>
    <w:rsid w:val="00201E07"/>
    <w:rsid w:val="0020560B"/>
    <w:rsid w:val="00242A13"/>
    <w:rsid w:val="002928BB"/>
    <w:rsid w:val="002A5F8D"/>
    <w:rsid w:val="00387DC7"/>
    <w:rsid w:val="00424FF5"/>
    <w:rsid w:val="00434203"/>
    <w:rsid w:val="004E5667"/>
    <w:rsid w:val="0051519C"/>
    <w:rsid w:val="00544366"/>
    <w:rsid w:val="005B2D47"/>
    <w:rsid w:val="006155C2"/>
    <w:rsid w:val="006836D9"/>
    <w:rsid w:val="006E13FB"/>
    <w:rsid w:val="00712470"/>
    <w:rsid w:val="00736FDE"/>
    <w:rsid w:val="00772E56"/>
    <w:rsid w:val="007D64D5"/>
    <w:rsid w:val="007F58C4"/>
    <w:rsid w:val="00812097"/>
    <w:rsid w:val="008A4C0E"/>
    <w:rsid w:val="008D2E33"/>
    <w:rsid w:val="008D3227"/>
    <w:rsid w:val="00912442"/>
    <w:rsid w:val="009165E3"/>
    <w:rsid w:val="0093281F"/>
    <w:rsid w:val="0096521C"/>
    <w:rsid w:val="009823BC"/>
    <w:rsid w:val="009B413A"/>
    <w:rsid w:val="009E1715"/>
    <w:rsid w:val="009E1B59"/>
    <w:rsid w:val="00A0167A"/>
    <w:rsid w:val="00A30844"/>
    <w:rsid w:val="00A42C05"/>
    <w:rsid w:val="00A54BB2"/>
    <w:rsid w:val="00AE705E"/>
    <w:rsid w:val="00B60507"/>
    <w:rsid w:val="00B61A5F"/>
    <w:rsid w:val="00B933E5"/>
    <w:rsid w:val="00BA38D2"/>
    <w:rsid w:val="00BA3EBB"/>
    <w:rsid w:val="00BA5414"/>
    <w:rsid w:val="00BC60EC"/>
    <w:rsid w:val="00C13950"/>
    <w:rsid w:val="00C94EA8"/>
    <w:rsid w:val="00CE3AB7"/>
    <w:rsid w:val="00CF0687"/>
    <w:rsid w:val="00D433AB"/>
    <w:rsid w:val="00D5690D"/>
    <w:rsid w:val="00D67ECF"/>
    <w:rsid w:val="00D827DB"/>
    <w:rsid w:val="00DE5FAF"/>
    <w:rsid w:val="00E8070F"/>
    <w:rsid w:val="00E869F7"/>
    <w:rsid w:val="00EC01FB"/>
    <w:rsid w:val="00EC1CF1"/>
    <w:rsid w:val="00ED6467"/>
    <w:rsid w:val="00F26560"/>
    <w:rsid w:val="00F63AB1"/>
    <w:rsid w:val="00F74F5E"/>
    <w:rsid w:val="00FB5CA4"/>
    <w:rsid w:val="00FE02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3F2FB81-C9D8-4AE3-9359-743707E8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33.pdf" TargetMode="External"/><Relationship Id="rId13" Type="http://schemas.openxmlformats.org/officeDocument/2006/relationships/hyperlink" Target="http://www.nevo.co.il/Law_word/law70/zava-0233.pdf"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_word/law70/zava-0233.pdf" TargetMode="External"/><Relationship Id="rId12" Type="http://schemas.openxmlformats.org/officeDocument/2006/relationships/hyperlink" Target="http://www.nevo.co.il/Law_word/law70/zava-0233.pdf" TargetMode="External"/><Relationship Id="rId17" Type="http://schemas.openxmlformats.org/officeDocument/2006/relationships/hyperlink" Target="http://www.nevo.co.il/Law_word/law70/zava-0233.pdf" TargetMode="External"/><Relationship Id="rId2" Type="http://schemas.openxmlformats.org/officeDocument/2006/relationships/styles" Target="styles.xml"/><Relationship Id="rId16" Type="http://schemas.openxmlformats.org/officeDocument/2006/relationships/hyperlink" Target="http://www.nevo.co.il/Law_word/law70/zava-0233.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46.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70/zava-0233.pdf" TargetMode="External"/><Relationship Id="rId23" Type="http://schemas.openxmlformats.org/officeDocument/2006/relationships/fontTable" Target="fontTable.xml"/><Relationship Id="rId10" Type="http://schemas.openxmlformats.org/officeDocument/2006/relationships/hyperlink" Target="http://www.nevo.co.il/Law_word/law70/zava-0233.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70/zava-0233.pdf" TargetMode="External"/><Relationship Id="rId14" Type="http://schemas.openxmlformats.org/officeDocument/2006/relationships/hyperlink" Target="http://www.nevo.co.il/Law_word/law70/zava-0233.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33.pdf" TargetMode="External"/><Relationship Id="rId2" Type="http://schemas.openxmlformats.org/officeDocument/2006/relationships/hyperlink" Target="http://www.nevo.co.il/Law_word/law70/ZAVA-0046.pdf" TargetMode="External"/><Relationship Id="rId1" Type="http://schemas.openxmlformats.org/officeDocument/2006/relationships/hyperlink" Target="http://www.nevo.co.il/Law_word/law70/zava-0019.pdf" TargetMode="External"/><Relationship Id="rId4" Type="http://schemas.openxmlformats.org/officeDocument/2006/relationships/hyperlink" Target="http://www.nevo.co.il/Law_word/law70/zava-02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1478</Words>
  <Characters>8431</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9890</CharactersWithSpaces>
  <SharedDoc>false</SharedDoc>
  <HLinks>
    <vt:vector size="156" baseType="variant">
      <vt:variant>
        <vt:i4>393283</vt:i4>
      </vt:variant>
      <vt:variant>
        <vt:i4>93</vt:i4>
      </vt:variant>
      <vt:variant>
        <vt:i4>0</vt:i4>
      </vt:variant>
      <vt:variant>
        <vt:i4>5</vt:i4>
      </vt:variant>
      <vt:variant>
        <vt:lpwstr>http://www.nevo.co.il/advertisements/nevo-100.doc</vt:lpwstr>
      </vt:variant>
      <vt:variant>
        <vt:lpwstr/>
      </vt:variant>
      <vt:variant>
        <vt:i4>1835130</vt:i4>
      </vt:variant>
      <vt:variant>
        <vt:i4>90</vt:i4>
      </vt:variant>
      <vt:variant>
        <vt:i4>0</vt:i4>
      </vt:variant>
      <vt:variant>
        <vt:i4>5</vt:i4>
      </vt:variant>
      <vt:variant>
        <vt:lpwstr>http://www.nevo.co.il/Law_word/law70/zava-0233.pdf</vt:lpwstr>
      </vt:variant>
      <vt:variant>
        <vt:lpwstr/>
      </vt:variant>
      <vt:variant>
        <vt:i4>1835130</vt:i4>
      </vt:variant>
      <vt:variant>
        <vt:i4>87</vt:i4>
      </vt:variant>
      <vt:variant>
        <vt:i4>0</vt:i4>
      </vt:variant>
      <vt:variant>
        <vt:i4>5</vt:i4>
      </vt:variant>
      <vt:variant>
        <vt:lpwstr>http://www.nevo.co.il/Law_word/law70/zava-0233.pdf</vt:lpwstr>
      </vt:variant>
      <vt:variant>
        <vt:lpwstr/>
      </vt:variant>
      <vt:variant>
        <vt:i4>1835130</vt:i4>
      </vt:variant>
      <vt:variant>
        <vt:i4>84</vt:i4>
      </vt:variant>
      <vt:variant>
        <vt:i4>0</vt:i4>
      </vt:variant>
      <vt:variant>
        <vt:i4>5</vt:i4>
      </vt:variant>
      <vt:variant>
        <vt:lpwstr>http://www.nevo.co.il/Law_word/law70/zava-0233.pdf</vt:lpwstr>
      </vt:variant>
      <vt:variant>
        <vt:lpwstr/>
      </vt:variant>
      <vt:variant>
        <vt:i4>1835130</vt:i4>
      </vt:variant>
      <vt:variant>
        <vt:i4>81</vt:i4>
      </vt:variant>
      <vt:variant>
        <vt:i4>0</vt:i4>
      </vt:variant>
      <vt:variant>
        <vt:i4>5</vt:i4>
      </vt:variant>
      <vt:variant>
        <vt:lpwstr>http://www.nevo.co.il/Law_word/law70/zava-0233.pdf</vt:lpwstr>
      </vt:variant>
      <vt:variant>
        <vt:lpwstr/>
      </vt:variant>
      <vt:variant>
        <vt:i4>1835130</vt:i4>
      </vt:variant>
      <vt:variant>
        <vt:i4>78</vt:i4>
      </vt:variant>
      <vt:variant>
        <vt:i4>0</vt:i4>
      </vt:variant>
      <vt:variant>
        <vt:i4>5</vt:i4>
      </vt:variant>
      <vt:variant>
        <vt:lpwstr>http://www.nevo.co.il/Law_word/law70/zava-0233.pdf</vt:lpwstr>
      </vt:variant>
      <vt:variant>
        <vt:lpwstr/>
      </vt:variant>
      <vt:variant>
        <vt:i4>1835130</vt:i4>
      </vt:variant>
      <vt:variant>
        <vt:i4>75</vt:i4>
      </vt:variant>
      <vt:variant>
        <vt:i4>0</vt:i4>
      </vt:variant>
      <vt:variant>
        <vt:i4>5</vt:i4>
      </vt:variant>
      <vt:variant>
        <vt:lpwstr>http://www.nevo.co.il/Law_word/law70/zava-0233.pdf</vt:lpwstr>
      </vt:variant>
      <vt:variant>
        <vt:lpwstr/>
      </vt:variant>
      <vt:variant>
        <vt:i4>1769597</vt:i4>
      </vt:variant>
      <vt:variant>
        <vt:i4>72</vt:i4>
      </vt:variant>
      <vt:variant>
        <vt:i4>0</vt:i4>
      </vt:variant>
      <vt:variant>
        <vt:i4>5</vt:i4>
      </vt:variant>
      <vt:variant>
        <vt:lpwstr>http://www.nevo.co.il/Law_word/law70/ZAVA-0046.pdf</vt:lpwstr>
      </vt:variant>
      <vt:variant>
        <vt:lpwstr/>
      </vt:variant>
      <vt:variant>
        <vt:i4>1835130</vt:i4>
      </vt:variant>
      <vt:variant>
        <vt:i4>69</vt:i4>
      </vt:variant>
      <vt:variant>
        <vt:i4>0</vt:i4>
      </vt:variant>
      <vt:variant>
        <vt:i4>5</vt:i4>
      </vt:variant>
      <vt:variant>
        <vt:lpwstr>http://www.nevo.co.il/Law_word/law70/zava-0233.pdf</vt:lpwstr>
      </vt:variant>
      <vt:variant>
        <vt:lpwstr/>
      </vt:variant>
      <vt:variant>
        <vt:i4>1835130</vt:i4>
      </vt:variant>
      <vt:variant>
        <vt:i4>66</vt:i4>
      </vt:variant>
      <vt:variant>
        <vt:i4>0</vt:i4>
      </vt:variant>
      <vt:variant>
        <vt:i4>5</vt:i4>
      </vt:variant>
      <vt:variant>
        <vt:lpwstr>http://www.nevo.co.il/Law_word/law70/zava-0233.pdf</vt:lpwstr>
      </vt:variant>
      <vt:variant>
        <vt:lpwstr/>
      </vt:variant>
      <vt:variant>
        <vt:i4>1835130</vt:i4>
      </vt:variant>
      <vt:variant>
        <vt:i4>63</vt:i4>
      </vt:variant>
      <vt:variant>
        <vt:i4>0</vt:i4>
      </vt:variant>
      <vt:variant>
        <vt:i4>5</vt:i4>
      </vt:variant>
      <vt:variant>
        <vt:lpwstr>http://www.nevo.co.il/Law_word/law70/zava-0233.pdf</vt:lpwstr>
      </vt:variant>
      <vt:variant>
        <vt:lpwstr/>
      </vt:variant>
      <vt:variant>
        <vt:i4>1835130</vt:i4>
      </vt:variant>
      <vt:variant>
        <vt:i4>60</vt:i4>
      </vt:variant>
      <vt:variant>
        <vt:i4>0</vt:i4>
      </vt:variant>
      <vt:variant>
        <vt:i4>5</vt:i4>
      </vt:variant>
      <vt:variant>
        <vt:lpwstr>http://www.nevo.co.il/Law_word/law70/zava-0233.pdf</vt:lpwstr>
      </vt:variant>
      <vt:variant>
        <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1769594</vt:i4>
      </vt:variant>
      <vt:variant>
        <vt:i4>9</vt:i4>
      </vt:variant>
      <vt:variant>
        <vt:i4>0</vt:i4>
      </vt:variant>
      <vt:variant>
        <vt:i4>5</vt:i4>
      </vt:variant>
      <vt:variant>
        <vt:lpwstr>http://www.nevo.co.il/Law_word/law70/zava-0234.pdf</vt:lpwstr>
      </vt:variant>
      <vt:variant>
        <vt:lpwstr/>
      </vt:variant>
      <vt:variant>
        <vt:i4>1835130</vt:i4>
      </vt:variant>
      <vt:variant>
        <vt:i4>6</vt:i4>
      </vt:variant>
      <vt:variant>
        <vt:i4>0</vt:i4>
      </vt:variant>
      <vt:variant>
        <vt:i4>5</vt:i4>
      </vt:variant>
      <vt:variant>
        <vt:lpwstr>http://www.nevo.co.il/Law_word/law70/zava-0233.pdf</vt:lpwstr>
      </vt:variant>
      <vt:variant>
        <vt:lpwstr/>
      </vt:variant>
      <vt:variant>
        <vt:i4>1769597</vt:i4>
      </vt:variant>
      <vt:variant>
        <vt:i4>3</vt:i4>
      </vt:variant>
      <vt:variant>
        <vt:i4>0</vt:i4>
      </vt:variant>
      <vt:variant>
        <vt:i4>5</vt:i4>
      </vt:variant>
      <vt:variant>
        <vt:lpwstr>http://www.nevo.co.il/Law_word/law70/ZAVA-0046.pdf</vt:lpwstr>
      </vt:variant>
      <vt:variant>
        <vt:lpwstr/>
      </vt:variant>
      <vt:variant>
        <vt:i4>1310840</vt:i4>
      </vt:variant>
      <vt:variant>
        <vt:i4>0</vt:i4>
      </vt:variant>
      <vt:variant>
        <vt:i4>0</vt:i4>
      </vt:variant>
      <vt:variant>
        <vt:i4>5</vt:i4>
      </vt:variant>
      <vt:variant>
        <vt:lpwstr>http://www.nevo.co.il/Law_word/law70/zava-0019.pdf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מניעת הסתננות (יהודה והשומרון) (מס' 329), תשכ"ט-1969 - מבוטל</vt:lpwstr>
  </property>
  <property fmtid="{D5CDD505-2E9C-101B-9397-08002B2CF9AE}" pid="4" name="LAWNUMBER">
    <vt:lpwstr>0024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