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0190" w14:textId="77777777" w:rsidR="002053AF" w:rsidRDefault="002053AF">
      <w:pPr>
        <w:pStyle w:val="big-header"/>
        <w:ind w:left="0" w:right="1134"/>
        <w:rPr>
          <w:rFonts w:cs="FrankRuehl" w:hint="cs"/>
          <w:sz w:val="32"/>
          <w:rtl/>
        </w:rPr>
      </w:pPr>
      <w:r>
        <w:rPr>
          <w:rFonts w:cs="FrankRuehl" w:hint="cs"/>
          <w:sz w:val="32"/>
          <w:rtl/>
        </w:rPr>
        <w:t>יהודה והשומרון</w:t>
      </w:r>
    </w:p>
    <w:p w14:paraId="0419CF47"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8E4871">
        <w:rPr>
          <w:rFonts w:cs="FrankRuehl" w:hint="cs"/>
          <w:sz w:val="32"/>
          <w:rtl/>
        </w:rPr>
        <w:t>מקרקעין (הערת אזהרה)</w:t>
      </w:r>
      <w:r w:rsidR="00171444">
        <w:rPr>
          <w:rFonts w:cs="FrankRuehl" w:hint="cs"/>
          <w:sz w:val="32"/>
          <w:rtl/>
        </w:rPr>
        <w:t xml:space="preserve"> (יהודה והשומרון) (מס' </w:t>
      </w:r>
      <w:r w:rsidR="008E4871">
        <w:rPr>
          <w:rFonts w:cs="FrankRuehl" w:hint="cs"/>
          <w:sz w:val="32"/>
          <w:rtl/>
        </w:rPr>
        <w:t>1795</w:t>
      </w:r>
      <w:r w:rsidR="00171444">
        <w:rPr>
          <w:rFonts w:cs="FrankRuehl" w:hint="cs"/>
          <w:sz w:val="32"/>
          <w:rtl/>
        </w:rPr>
        <w:t xml:space="preserve">), </w:t>
      </w:r>
      <w:r w:rsidR="008E4871">
        <w:rPr>
          <w:rFonts w:cs="FrankRuehl"/>
          <w:sz w:val="32"/>
          <w:rtl/>
        </w:rPr>
        <w:br/>
      </w:r>
      <w:r w:rsidR="0021569F">
        <w:rPr>
          <w:rFonts w:cs="FrankRuehl" w:hint="cs"/>
          <w:sz w:val="32"/>
          <w:rtl/>
        </w:rPr>
        <w:t>תשע"</w:t>
      </w:r>
      <w:r w:rsidR="008E4871">
        <w:rPr>
          <w:rFonts w:cs="FrankRuehl" w:hint="cs"/>
          <w:sz w:val="32"/>
          <w:rtl/>
        </w:rPr>
        <w:t>ח</w:t>
      </w:r>
      <w:r w:rsidR="0021569F">
        <w:rPr>
          <w:rFonts w:cs="FrankRuehl" w:hint="cs"/>
          <w:sz w:val="32"/>
          <w:rtl/>
        </w:rPr>
        <w:t>-201</w:t>
      </w:r>
      <w:r w:rsidR="008E4871">
        <w:rPr>
          <w:rFonts w:cs="FrankRuehl" w:hint="cs"/>
          <w:sz w:val="32"/>
          <w:rtl/>
        </w:rPr>
        <w:t>8</w:t>
      </w:r>
    </w:p>
    <w:p w14:paraId="6D3181B9"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2D1A" w:rsidRPr="00B12D1A" w14:paraId="181FD78D" w14:textId="77777777" w:rsidTr="00B12D1A">
        <w:tblPrEx>
          <w:tblCellMar>
            <w:top w:w="0" w:type="dxa"/>
            <w:bottom w:w="0" w:type="dxa"/>
          </w:tblCellMar>
        </w:tblPrEx>
        <w:tc>
          <w:tcPr>
            <w:tcW w:w="1247" w:type="dxa"/>
          </w:tcPr>
          <w:p w14:paraId="1F4A997C" w14:textId="77777777" w:rsidR="00B12D1A" w:rsidRPr="00B12D1A" w:rsidRDefault="00B12D1A" w:rsidP="00B12D1A">
            <w:pPr>
              <w:rPr>
                <w:rFonts w:cs="Frankruhel" w:hint="cs"/>
                <w:rtl/>
              </w:rPr>
            </w:pPr>
            <w:r>
              <w:rPr>
                <w:rtl/>
              </w:rPr>
              <w:t xml:space="preserve">סעיף 1 </w:t>
            </w:r>
          </w:p>
        </w:tc>
        <w:tc>
          <w:tcPr>
            <w:tcW w:w="5669" w:type="dxa"/>
          </w:tcPr>
          <w:p w14:paraId="0BEEE684" w14:textId="77777777" w:rsidR="00B12D1A" w:rsidRPr="00B12D1A" w:rsidRDefault="00B12D1A" w:rsidP="00B12D1A">
            <w:pPr>
              <w:rPr>
                <w:rFonts w:cs="Frankruhel" w:hint="cs"/>
                <w:rtl/>
              </w:rPr>
            </w:pPr>
            <w:r>
              <w:rPr>
                <w:rtl/>
              </w:rPr>
              <w:t>הגדרות</w:t>
            </w:r>
          </w:p>
        </w:tc>
        <w:tc>
          <w:tcPr>
            <w:tcW w:w="567" w:type="dxa"/>
          </w:tcPr>
          <w:p w14:paraId="670E1FD5" w14:textId="77777777" w:rsidR="00B12D1A" w:rsidRPr="00B12D1A" w:rsidRDefault="00B12D1A" w:rsidP="00B12D1A">
            <w:pPr>
              <w:rPr>
                <w:rStyle w:val="Hyperlink"/>
                <w:rFonts w:hint="cs"/>
                <w:rtl/>
              </w:rPr>
            </w:pPr>
            <w:hyperlink w:anchor="Seif1" w:tooltip="הגדרות" w:history="1">
              <w:r w:rsidRPr="00B12D1A">
                <w:rPr>
                  <w:rStyle w:val="Hyperlink"/>
                </w:rPr>
                <w:t>Go</w:t>
              </w:r>
            </w:hyperlink>
          </w:p>
        </w:tc>
        <w:tc>
          <w:tcPr>
            <w:tcW w:w="850" w:type="dxa"/>
          </w:tcPr>
          <w:p w14:paraId="23E80BF7"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234EDD70" w14:textId="77777777" w:rsidTr="00B12D1A">
        <w:tblPrEx>
          <w:tblCellMar>
            <w:top w:w="0" w:type="dxa"/>
            <w:bottom w:w="0" w:type="dxa"/>
          </w:tblCellMar>
        </w:tblPrEx>
        <w:tc>
          <w:tcPr>
            <w:tcW w:w="1247" w:type="dxa"/>
          </w:tcPr>
          <w:p w14:paraId="189D0761" w14:textId="77777777" w:rsidR="00B12D1A" w:rsidRPr="00B12D1A" w:rsidRDefault="00B12D1A" w:rsidP="00B12D1A">
            <w:pPr>
              <w:rPr>
                <w:rFonts w:cs="Frankruhel" w:hint="cs"/>
                <w:rtl/>
              </w:rPr>
            </w:pPr>
            <w:r>
              <w:rPr>
                <w:rtl/>
              </w:rPr>
              <w:t xml:space="preserve">סעיף 2 </w:t>
            </w:r>
          </w:p>
        </w:tc>
        <w:tc>
          <w:tcPr>
            <w:tcW w:w="5669" w:type="dxa"/>
          </w:tcPr>
          <w:p w14:paraId="5B30CED5" w14:textId="77777777" w:rsidR="00B12D1A" w:rsidRPr="00B12D1A" w:rsidRDefault="00B12D1A" w:rsidP="00B12D1A">
            <w:pPr>
              <w:rPr>
                <w:rFonts w:cs="Frankruhel" w:hint="cs"/>
                <w:rtl/>
              </w:rPr>
            </w:pPr>
            <w:r>
              <w:rPr>
                <w:rtl/>
              </w:rPr>
              <w:t>תחולה</w:t>
            </w:r>
          </w:p>
        </w:tc>
        <w:tc>
          <w:tcPr>
            <w:tcW w:w="567" w:type="dxa"/>
          </w:tcPr>
          <w:p w14:paraId="7A7B9CDD" w14:textId="77777777" w:rsidR="00B12D1A" w:rsidRPr="00B12D1A" w:rsidRDefault="00B12D1A" w:rsidP="00B12D1A">
            <w:pPr>
              <w:rPr>
                <w:rStyle w:val="Hyperlink"/>
                <w:rFonts w:hint="cs"/>
                <w:rtl/>
              </w:rPr>
            </w:pPr>
            <w:hyperlink w:anchor="Seif7" w:tooltip="תחולה" w:history="1">
              <w:r w:rsidRPr="00B12D1A">
                <w:rPr>
                  <w:rStyle w:val="Hyperlink"/>
                </w:rPr>
                <w:t>Go</w:t>
              </w:r>
            </w:hyperlink>
          </w:p>
        </w:tc>
        <w:tc>
          <w:tcPr>
            <w:tcW w:w="850" w:type="dxa"/>
          </w:tcPr>
          <w:p w14:paraId="733DC22B"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18F3E4AE" w14:textId="77777777" w:rsidTr="00B12D1A">
        <w:tblPrEx>
          <w:tblCellMar>
            <w:top w:w="0" w:type="dxa"/>
            <w:bottom w:w="0" w:type="dxa"/>
          </w:tblCellMar>
        </w:tblPrEx>
        <w:tc>
          <w:tcPr>
            <w:tcW w:w="1247" w:type="dxa"/>
          </w:tcPr>
          <w:p w14:paraId="2391E83B" w14:textId="77777777" w:rsidR="00B12D1A" w:rsidRPr="00B12D1A" w:rsidRDefault="00B12D1A" w:rsidP="00B12D1A">
            <w:pPr>
              <w:rPr>
                <w:rFonts w:cs="Frankruhel" w:hint="cs"/>
                <w:rtl/>
              </w:rPr>
            </w:pPr>
            <w:r>
              <w:rPr>
                <w:rtl/>
              </w:rPr>
              <w:t xml:space="preserve">סעיף 3 </w:t>
            </w:r>
          </w:p>
        </w:tc>
        <w:tc>
          <w:tcPr>
            <w:tcW w:w="5669" w:type="dxa"/>
          </w:tcPr>
          <w:p w14:paraId="2F86F168" w14:textId="77777777" w:rsidR="00B12D1A" w:rsidRPr="00B12D1A" w:rsidRDefault="00B12D1A" w:rsidP="00B12D1A">
            <w:pPr>
              <w:rPr>
                <w:rFonts w:cs="Frankruhel" w:hint="cs"/>
                <w:rtl/>
              </w:rPr>
            </w:pPr>
            <w:r>
              <w:rPr>
                <w:rtl/>
              </w:rPr>
              <w:t>הערת אזהרה</w:t>
            </w:r>
          </w:p>
        </w:tc>
        <w:tc>
          <w:tcPr>
            <w:tcW w:w="567" w:type="dxa"/>
          </w:tcPr>
          <w:p w14:paraId="66E7F1AE" w14:textId="77777777" w:rsidR="00B12D1A" w:rsidRPr="00B12D1A" w:rsidRDefault="00B12D1A" w:rsidP="00B12D1A">
            <w:pPr>
              <w:rPr>
                <w:rStyle w:val="Hyperlink"/>
                <w:rFonts w:hint="cs"/>
                <w:rtl/>
              </w:rPr>
            </w:pPr>
            <w:hyperlink w:anchor="Seif8" w:tooltip="הערת אזהרה" w:history="1">
              <w:r w:rsidRPr="00B12D1A">
                <w:rPr>
                  <w:rStyle w:val="Hyperlink"/>
                </w:rPr>
                <w:t>Go</w:t>
              </w:r>
            </w:hyperlink>
          </w:p>
        </w:tc>
        <w:tc>
          <w:tcPr>
            <w:tcW w:w="850" w:type="dxa"/>
          </w:tcPr>
          <w:p w14:paraId="6B2F8450"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60200FEA" w14:textId="77777777" w:rsidTr="00B12D1A">
        <w:tblPrEx>
          <w:tblCellMar>
            <w:top w:w="0" w:type="dxa"/>
            <w:bottom w:w="0" w:type="dxa"/>
          </w:tblCellMar>
        </w:tblPrEx>
        <w:tc>
          <w:tcPr>
            <w:tcW w:w="1247" w:type="dxa"/>
          </w:tcPr>
          <w:p w14:paraId="5F98A52D" w14:textId="77777777" w:rsidR="00B12D1A" w:rsidRPr="00B12D1A" w:rsidRDefault="00B12D1A" w:rsidP="00B12D1A">
            <w:pPr>
              <w:rPr>
                <w:rFonts w:cs="Frankruhel" w:hint="cs"/>
                <w:rtl/>
              </w:rPr>
            </w:pPr>
            <w:r>
              <w:rPr>
                <w:rtl/>
              </w:rPr>
              <w:t xml:space="preserve">סעיף 4 </w:t>
            </w:r>
          </w:p>
        </w:tc>
        <w:tc>
          <w:tcPr>
            <w:tcW w:w="5669" w:type="dxa"/>
          </w:tcPr>
          <w:p w14:paraId="7E059180" w14:textId="77777777" w:rsidR="00B12D1A" w:rsidRPr="00B12D1A" w:rsidRDefault="00B12D1A" w:rsidP="00B12D1A">
            <w:pPr>
              <w:rPr>
                <w:rFonts w:cs="Frankruhel" w:hint="cs"/>
                <w:rtl/>
              </w:rPr>
            </w:pPr>
            <w:r>
              <w:rPr>
                <w:rtl/>
              </w:rPr>
              <w:t>הוכחת זכויות וכשרות</w:t>
            </w:r>
          </w:p>
        </w:tc>
        <w:tc>
          <w:tcPr>
            <w:tcW w:w="567" w:type="dxa"/>
          </w:tcPr>
          <w:p w14:paraId="36ABD9C1" w14:textId="77777777" w:rsidR="00B12D1A" w:rsidRPr="00B12D1A" w:rsidRDefault="00B12D1A" w:rsidP="00B12D1A">
            <w:pPr>
              <w:rPr>
                <w:rStyle w:val="Hyperlink"/>
                <w:rFonts w:hint="cs"/>
                <w:rtl/>
              </w:rPr>
            </w:pPr>
            <w:hyperlink w:anchor="Seif4" w:tooltip="הוכחת זכויות וכשרות" w:history="1">
              <w:r w:rsidRPr="00B12D1A">
                <w:rPr>
                  <w:rStyle w:val="Hyperlink"/>
                </w:rPr>
                <w:t>Go</w:t>
              </w:r>
            </w:hyperlink>
          </w:p>
        </w:tc>
        <w:tc>
          <w:tcPr>
            <w:tcW w:w="850" w:type="dxa"/>
          </w:tcPr>
          <w:p w14:paraId="79CD9D7F"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6855CF32" w14:textId="77777777" w:rsidTr="00B12D1A">
        <w:tblPrEx>
          <w:tblCellMar>
            <w:top w:w="0" w:type="dxa"/>
            <w:bottom w:w="0" w:type="dxa"/>
          </w:tblCellMar>
        </w:tblPrEx>
        <w:tc>
          <w:tcPr>
            <w:tcW w:w="1247" w:type="dxa"/>
          </w:tcPr>
          <w:p w14:paraId="490F6ABC" w14:textId="77777777" w:rsidR="00B12D1A" w:rsidRPr="00B12D1A" w:rsidRDefault="00B12D1A" w:rsidP="00B12D1A">
            <w:pPr>
              <w:rPr>
                <w:rFonts w:cs="Frankruhel" w:hint="cs"/>
                <w:rtl/>
              </w:rPr>
            </w:pPr>
            <w:r>
              <w:rPr>
                <w:rtl/>
              </w:rPr>
              <w:t xml:space="preserve">סעיף 5 </w:t>
            </w:r>
          </w:p>
        </w:tc>
        <w:tc>
          <w:tcPr>
            <w:tcW w:w="5669" w:type="dxa"/>
          </w:tcPr>
          <w:p w14:paraId="6F7E8942" w14:textId="77777777" w:rsidR="00B12D1A" w:rsidRPr="00B12D1A" w:rsidRDefault="00B12D1A" w:rsidP="00B12D1A">
            <w:pPr>
              <w:rPr>
                <w:rFonts w:cs="Frankruhel" w:hint="cs"/>
                <w:rtl/>
              </w:rPr>
            </w:pPr>
            <w:r>
              <w:rPr>
                <w:rtl/>
              </w:rPr>
              <w:t>מחיקת הערה</w:t>
            </w:r>
          </w:p>
        </w:tc>
        <w:tc>
          <w:tcPr>
            <w:tcW w:w="567" w:type="dxa"/>
          </w:tcPr>
          <w:p w14:paraId="64649672" w14:textId="77777777" w:rsidR="00B12D1A" w:rsidRPr="00B12D1A" w:rsidRDefault="00B12D1A" w:rsidP="00B12D1A">
            <w:pPr>
              <w:rPr>
                <w:rStyle w:val="Hyperlink"/>
                <w:rFonts w:hint="cs"/>
                <w:rtl/>
              </w:rPr>
            </w:pPr>
            <w:hyperlink w:anchor="Seif5" w:tooltip="מחיקת הערה" w:history="1">
              <w:r w:rsidRPr="00B12D1A">
                <w:rPr>
                  <w:rStyle w:val="Hyperlink"/>
                </w:rPr>
                <w:t>Go</w:t>
              </w:r>
            </w:hyperlink>
          </w:p>
        </w:tc>
        <w:tc>
          <w:tcPr>
            <w:tcW w:w="850" w:type="dxa"/>
          </w:tcPr>
          <w:p w14:paraId="01EC7BCB"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3DB14FCF" w14:textId="77777777" w:rsidTr="00B12D1A">
        <w:tblPrEx>
          <w:tblCellMar>
            <w:top w:w="0" w:type="dxa"/>
            <w:bottom w:w="0" w:type="dxa"/>
          </w:tblCellMar>
        </w:tblPrEx>
        <w:tc>
          <w:tcPr>
            <w:tcW w:w="1247" w:type="dxa"/>
          </w:tcPr>
          <w:p w14:paraId="3EFA90B3" w14:textId="77777777" w:rsidR="00B12D1A" w:rsidRPr="00B12D1A" w:rsidRDefault="00B12D1A" w:rsidP="00B12D1A">
            <w:pPr>
              <w:rPr>
                <w:rFonts w:cs="Frankruhel" w:hint="cs"/>
                <w:rtl/>
              </w:rPr>
            </w:pPr>
            <w:r>
              <w:rPr>
                <w:rtl/>
              </w:rPr>
              <w:t xml:space="preserve">סעיף 6 </w:t>
            </w:r>
          </w:p>
        </w:tc>
        <w:tc>
          <w:tcPr>
            <w:tcW w:w="5669" w:type="dxa"/>
          </w:tcPr>
          <w:p w14:paraId="2D8E0436" w14:textId="77777777" w:rsidR="00B12D1A" w:rsidRPr="00B12D1A" w:rsidRDefault="00B12D1A" w:rsidP="00B12D1A">
            <w:pPr>
              <w:rPr>
                <w:rFonts w:cs="Frankruhel" w:hint="cs"/>
                <w:rtl/>
              </w:rPr>
            </w:pPr>
            <w:r>
              <w:rPr>
                <w:rtl/>
              </w:rPr>
              <w:t>אגרה</w:t>
            </w:r>
          </w:p>
        </w:tc>
        <w:tc>
          <w:tcPr>
            <w:tcW w:w="567" w:type="dxa"/>
          </w:tcPr>
          <w:p w14:paraId="3C4455A6" w14:textId="77777777" w:rsidR="00B12D1A" w:rsidRPr="00B12D1A" w:rsidRDefault="00B12D1A" w:rsidP="00B12D1A">
            <w:pPr>
              <w:rPr>
                <w:rStyle w:val="Hyperlink"/>
                <w:rFonts w:hint="cs"/>
                <w:rtl/>
              </w:rPr>
            </w:pPr>
            <w:hyperlink w:anchor="Seif6" w:tooltip="אגרה" w:history="1">
              <w:r w:rsidRPr="00B12D1A">
                <w:rPr>
                  <w:rStyle w:val="Hyperlink"/>
                </w:rPr>
                <w:t>Go</w:t>
              </w:r>
            </w:hyperlink>
          </w:p>
        </w:tc>
        <w:tc>
          <w:tcPr>
            <w:tcW w:w="850" w:type="dxa"/>
          </w:tcPr>
          <w:p w14:paraId="24968677"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0070143C" w14:textId="77777777" w:rsidTr="00B12D1A">
        <w:tblPrEx>
          <w:tblCellMar>
            <w:top w:w="0" w:type="dxa"/>
            <w:bottom w:w="0" w:type="dxa"/>
          </w:tblCellMar>
        </w:tblPrEx>
        <w:tc>
          <w:tcPr>
            <w:tcW w:w="1247" w:type="dxa"/>
          </w:tcPr>
          <w:p w14:paraId="564F841A" w14:textId="77777777" w:rsidR="00B12D1A" w:rsidRPr="00B12D1A" w:rsidRDefault="00B12D1A" w:rsidP="00B12D1A">
            <w:pPr>
              <w:rPr>
                <w:rFonts w:cs="Frankruhel" w:hint="cs"/>
                <w:rtl/>
              </w:rPr>
            </w:pPr>
            <w:r>
              <w:rPr>
                <w:rtl/>
              </w:rPr>
              <w:t xml:space="preserve">סעיף 7 </w:t>
            </w:r>
          </w:p>
        </w:tc>
        <w:tc>
          <w:tcPr>
            <w:tcW w:w="5669" w:type="dxa"/>
          </w:tcPr>
          <w:p w14:paraId="438BB35C" w14:textId="77777777" w:rsidR="00B12D1A" w:rsidRPr="00B12D1A" w:rsidRDefault="00B12D1A" w:rsidP="00B12D1A">
            <w:pPr>
              <w:rPr>
                <w:rFonts w:cs="Frankruhel" w:hint="cs"/>
                <w:rtl/>
              </w:rPr>
            </w:pPr>
            <w:r>
              <w:rPr>
                <w:rtl/>
              </w:rPr>
              <w:t>תחילה</w:t>
            </w:r>
          </w:p>
        </w:tc>
        <w:tc>
          <w:tcPr>
            <w:tcW w:w="567" w:type="dxa"/>
          </w:tcPr>
          <w:p w14:paraId="616CA90F" w14:textId="77777777" w:rsidR="00B12D1A" w:rsidRPr="00B12D1A" w:rsidRDefault="00B12D1A" w:rsidP="00B12D1A">
            <w:pPr>
              <w:rPr>
                <w:rStyle w:val="Hyperlink"/>
                <w:rFonts w:hint="cs"/>
                <w:rtl/>
              </w:rPr>
            </w:pPr>
            <w:hyperlink w:anchor="Seif2" w:tooltip="תחילה" w:history="1">
              <w:r w:rsidRPr="00B12D1A">
                <w:rPr>
                  <w:rStyle w:val="Hyperlink"/>
                </w:rPr>
                <w:t>Go</w:t>
              </w:r>
            </w:hyperlink>
          </w:p>
        </w:tc>
        <w:tc>
          <w:tcPr>
            <w:tcW w:w="850" w:type="dxa"/>
          </w:tcPr>
          <w:p w14:paraId="209EA015"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2D1A" w:rsidRPr="00B12D1A" w14:paraId="73FF4C67" w14:textId="77777777" w:rsidTr="00B12D1A">
        <w:tblPrEx>
          <w:tblCellMar>
            <w:top w:w="0" w:type="dxa"/>
            <w:bottom w:w="0" w:type="dxa"/>
          </w:tblCellMar>
        </w:tblPrEx>
        <w:tc>
          <w:tcPr>
            <w:tcW w:w="1247" w:type="dxa"/>
          </w:tcPr>
          <w:p w14:paraId="66C4E3AA" w14:textId="77777777" w:rsidR="00B12D1A" w:rsidRPr="00B12D1A" w:rsidRDefault="00B12D1A" w:rsidP="00B12D1A">
            <w:pPr>
              <w:rPr>
                <w:rFonts w:cs="Frankruhel" w:hint="cs"/>
                <w:rtl/>
              </w:rPr>
            </w:pPr>
            <w:r>
              <w:rPr>
                <w:rtl/>
              </w:rPr>
              <w:t xml:space="preserve">סעיף 8 </w:t>
            </w:r>
          </w:p>
        </w:tc>
        <w:tc>
          <w:tcPr>
            <w:tcW w:w="5669" w:type="dxa"/>
          </w:tcPr>
          <w:p w14:paraId="2A5ECE7F" w14:textId="77777777" w:rsidR="00B12D1A" w:rsidRPr="00B12D1A" w:rsidRDefault="00B12D1A" w:rsidP="00B12D1A">
            <w:pPr>
              <w:rPr>
                <w:rFonts w:cs="Frankruhel" w:hint="cs"/>
                <w:rtl/>
              </w:rPr>
            </w:pPr>
            <w:r>
              <w:rPr>
                <w:rtl/>
              </w:rPr>
              <w:t>השם</w:t>
            </w:r>
          </w:p>
        </w:tc>
        <w:tc>
          <w:tcPr>
            <w:tcW w:w="567" w:type="dxa"/>
          </w:tcPr>
          <w:p w14:paraId="1224A5FF" w14:textId="77777777" w:rsidR="00B12D1A" w:rsidRPr="00B12D1A" w:rsidRDefault="00B12D1A" w:rsidP="00B12D1A">
            <w:pPr>
              <w:rPr>
                <w:rStyle w:val="Hyperlink"/>
                <w:rFonts w:hint="cs"/>
                <w:rtl/>
              </w:rPr>
            </w:pPr>
            <w:hyperlink w:anchor="Seif3" w:tooltip="השם" w:history="1">
              <w:r w:rsidRPr="00B12D1A">
                <w:rPr>
                  <w:rStyle w:val="Hyperlink"/>
                </w:rPr>
                <w:t>Go</w:t>
              </w:r>
            </w:hyperlink>
          </w:p>
        </w:tc>
        <w:tc>
          <w:tcPr>
            <w:tcW w:w="850" w:type="dxa"/>
          </w:tcPr>
          <w:p w14:paraId="2300E288" w14:textId="77777777" w:rsidR="00B12D1A" w:rsidRPr="00B12D1A" w:rsidRDefault="00B12D1A" w:rsidP="00B12D1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422F2D2" w14:textId="77777777" w:rsidR="002053AF" w:rsidRDefault="002053AF">
      <w:pPr>
        <w:pStyle w:val="big-header"/>
        <w:ind w:left="0" w:right="1134"/>
        <w:rPr>
          <w:rFonts w:cs="FrankRuehl" w:hint="cs"/>
          <w:sz w:val="32"/>
          <w:rtl/>
        </w:rPr>
      </w:pPr>
    </w:p>
    <w:p w14:paraId="6BCA2F3D"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468325E7" w14:textId="77777777" w:rsidR="002053AF" w:rsidRDefault="008E4871" w:rsidP="00C71695">
      <w:pPr>
        <w:pStyle w:val="big-header"/>
        <w:ind w:left="0" w:right="1134"/>
        <w:rPr>
          <w:rStyle w:val="default"/>
          <w:rFonts w:hint="cs"/>
          <w:sz w:val="22"/>
          <w:szCs w:val="22"/>
          <w:rtl/>
        </w:rPr>
      </w:pPr>
      <w:r>
        <w:rPr>
          <w:rFonts w:cs="FrankRuehl" w:hint="cs"/>
          <w:sz w:val="32"/>
          <w:rtl/>
        </w:rPr>
        <w:t xml:space="preserve">צו בדבר מקרקעין (הערת אזהרה) (יהודה והשומרון) (מס' 1795), </w:t>
      </w:r>
      <w:r>
        <w:rPr>
          <w:rFonts w:cs="FrankRuehl"/>
          <w:sz w:val="32"/>
          <w:rtl/>
        </w:rPr>
        <w:br/>
      </w:r>
      <w:r>
        <w:rPr>
          <w:rFonts w:cs="FrankRuehl" w:hint="cs"/>
          <w:sz w:val="32"/>
          <w:rtl/>
        </w:rPr>
        <w:t>תשע"ח-2018</w:t>
      </w:r>
      <w:r w:rsidR="002053AF">
        <w:rPr>
          <w:rStyle w:val="default"/>
          <w:sz w:val="22"/>
          <w:szCs w:val="22"/>
          <w:rtl/>
        </w:rPr>
        <w:footnoteReference w:customMarkFollows="1" w:id="1"/>
        <w:t>*</w:t>
      </w:r>
    </w:p>
    <w:p w14:paraId="3051FABE"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כמפקד </w:t>
      </w:r>
      <w:r w:rsidR="00295AE6">
        <w:rPr>
          <w:rStyle w:val="default"/>
          <w:rFonts w:cs="FrankRuehl" w:hint="cs"/>
          <w:rtl/>
        </w:rPr>
        <w:t>כוחות צה"ל ב</w:t>
      </w:r>
      <w:r>
        <w:rPr>
          <w:rStyle w:val="default"/>
          <w:rFonts w:cs="FrankRuehl" w:hint="cs"/>
          <w:rtl/>
        </w:rPr>
        <w:t>אזור</w:t>
      </w:r>
      <w:r w:rsidR="008E4871">
        <w:rPr>
          <w:rStyle w:val="default"/>
          <w:rFonts w:cs="FrankRuehl" w:hint="cs"/>
          <w:rtl/>
        </w:rPr>
        <w:t>,</w:t>
      </w:r>
      <w:r w:rsidR="004B3ACE">
        <w:rPr>
          <w:rStyle w:val="default"/>
          <w:rFonts w:cs="FrankRuehl" w:hint="cs"/>
          <w:rtl/>
        </w:rPr>
        <w:t xml:space="preserve"> </w:t>
      </w:r>
      <w:r w:rsidR="008E4871">
        <w:rPr>
          <w:rStyle w:val="default"/>
          <w:rFonts w:cs="FrankRuehl" w:hint="cs"/>
          <w:rtl/>
        </w:rPr>
        <w:t>והואיל והנני סבור כי הדבר נחוץ לקיום ממשל תקין ולשמירה על הסדר הציבורי</w:t>
      </w:r>
      <w:r>
        <w:rPr>
          <w:rStyle w:val="default"/>
          <w:rFonts w:cs="FrankRuehl" w:hint="cs"/>
          <w:rtl/>
        </w:rPr>
        <w:t xml:space="preserve">, </w:t>
      </w:r>
      <w:r w:rsidR="004B3ACE">
        <w:rPr>
          <w:rStyle w:val="default"/>
          <w:rFonts w:cs="FrankRuehl" w:hint="cs"/>
          <w:rtl/>
        </w:rPr>
        <w:t>הנ</w:t>
      </w:r>
      <w:r w:rsidR="0059458E">
        <w:rPr>
          <w:rStyle w:val="default"/>
          <w:rFonts w:cs="FrankRuehl" w:hint="cs"/>
          <w:rtl/>
        </w:rPr>
        <w:t xml:space="preserve">ני </w:t>
      </w:r>
      <w:r>
        <w:rPr>
          <w:rStyle w:val="default"/>
          <w:rFonts w:cs="FrankRuehl" w:hint="cs"/>
          <w:rtl/>
        </w:rPr>
        <w:t xml:space="preserve">מצווה </w:t>
      </w:r>
      <w:r w:rsidR="002E532F">
        <w:rPr>
          <w:rStyle w:val="default"/>
          <w:rFonts w:cs="FrankRuehl" w:hint="cs"/>
          <w:rtl/>
        </w:rPr>
        <w:t xml:space="preserve">בזה </w:t>
      </w:r>
      <w:r>
        <w:rPr>
          <w:rStyle w:val="default"/>
          <w:rFonts w:cs="FrankRuehl" w:hint="cs"/>
          <w:rtl/>
        </w:rPr>
        <w:t>לאמור:</w:t>
      </w:r>
    </w:p>
    <w:p w14:paraId="540D0D1C"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5524765F">
          <v:rect id="_x0000_s1026" style="position:absolute;left:0;text-align:left;margin-left:468pt;margin-top:7.1pt;width:71.4pt;height:11.7pt;z-index:251654144" o:allowincell="f" filled="f" stroked="f" strokecolor="lime" strokeweight=".25pt">
            <v:textbox style="mso-next-textbox:#_x0000_s1026" inset="0,0,0,0">
              <w:txbxContent>
                <w:p w14:paraId="1615C943"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13BCCCF5"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"מקרקעין" </w:t>
      </w:r>
      <w:r>
        <w:rPr>
          <w:rStyle w:val="default"/>
          <w:rFonts w:cs="FrankRuehl"/>
          <w:rtl/>
        </w:rPr>
        <w:t>–</w:t>
      </w:r>
      <w:r>
        <w:rPr>
          <w:rStyle w:val="default"/>
          <w:rFonts w:cs="FrankRuehl" w:hint="cs"/>
          <w:rtl/>
        </w:rPr>
        <w:t xml:space="preserve"> קרקע, לרבות כל הבנוי והנטוע עליה וכל דבר אחר המחובר אליה חיבור של קבע, זולת מחוברים הניתנים להפרדה;</w:t>
      </w:r>
    </w:p>
    <w:p w14:paraId="4D0F880D"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"עסקה" </w:t>
      </w:r>
      <w:r>
        <w:rPr>
          <w:rStyle w:val="default"/>
          <w:rFonts w:cs="FrankRuehl"/>
          <w:rtl/>
        </w:rPr>
        <w:t>–</w:t>
      </w:r>
      <w:r>
        <w:rPr>
          <w:rStyle w:val="default"/>
          <w:rFonts w:cs="FrankRuehl" w:hint="cs"/>
          <w:rtl/>
        </w:rPr>
        <w:t xml:space="preserve"> הקניה של זכות במקרקעין לפי רצון המקנה;</w:t>
      </w:r>
    </w:p>
    <w:p w14:paraId="67E34BA3"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"הרשם" </w:t>
      </w:r>
      <w:r>
        <w:rPr>
          <w:rStyle w:val="default"/>
          <w:rFonts w:cs="FrankRuehl"/>
          <w:rtl/>
        </w:rPr>
        <w:t>–</w:t>
      </w:r>
      <w:r>
        <w:rPr>
          <w:rStyle w:val="default"/>
          <w:rFonts w:cs="FrankRuehl" w:hint="cs"/>
          <w:rtl/>
        </w:rPr>
        <w:t xml:space="preserve"> כהגדרתו בצו בדבר תיקון חוק רישום נכסי דלא ניידי אשר טרם נרשמו (יהודה והשומרון) (מס' 1621), התשס"ט-2008;</w:t>
      </w:r>
    </w:p>
    <w:p w14:paraId="15D9A228"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"לוח רישום" </w:t>
      </w:r>
      <w:r>
        <w:rPr>
          <w:rStyle w:val="default"/>
          <w:rFonts w:cs="FrankRuehl"/>
          <w:rtl/>
        </w:rPr>
        <w:t>–</w:t>
      </w:r>
      <w:r>
        <w:rPr>
          <w:rStyle w:val="default"/>
          <w:rFonts w:cs="FrankRuehl" w:hint="cs"/>
          <w:rtl/>
        </w:rPr>
        <w:t xml:space="preserve"> כהגדרתו בחוק הסדר הקרקעות והמים, מס' 40 לשנת 1952;</w:t>
      </w:r>
    </w:p>
    <w:p w14:paraId="592E8842"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"ראש המינהל האזרחי" </w:t>
      </w:r>
      <w:r>
        <w:rPr>
          <w:rStyle w:val="default"/>
          <w:rFonts w:cs="FrankRuehl"/>
          <w:rtl/>
        </w:rPr>
        <w:t>–</w:t>
      </w:r>
      <w:r>
        <w:rPr>
          <w:rStyle w:val="default"/>
          <w:rFonts w:cs="FrankRuehl" w:hint="cs"/>
          <w:rtl/>
        </w:rPr>
        <w:t xml:space="preserve"> כהגדרתו בצו בדבר הקמת המינהל האזרחי (יהודה והשומרון) (מס' 947), התשמ"ב-1981.</w:t>
      </w:r>
    </w:p>
    <w:p w14:paraId="692E40DD" w14:textId="77777777" w:rsidR="002053AF" w:rsidRDefault="002053AF" w:rsidP="0059458E">
      <w:pPr>
        <w:pStyle w:val="P00"/>
        <w:spacing w:before="72"/>
        <w:ind w:left="0" w:right="1134"/>
        <w:rPr>
          <w:rStyle w:val="default"/>
          <w:rFonts w:cs="FrankRuehl"/>
          <w:rtl/>
        </w:rPr>
      </w:pPr>
      <w:bookmarkStart w:id="1" w:name="Seif7"/>
      <w:bookmarkEnd w:id="1"/>
      <w:r>
        <w:rPr>
          <w:rFonts w:cs="Miriam"/>
          <w:szCs w:val="32"/>
          <w:rtl/>
          <w:lang w:val="he-IL"/>
        </w:rPr>
        <w:pict w14:anchorId="72DE01FC">
          <v:shapetype id="_x0000_t202" coordsize="21600,21600" o:spt="202" path="m,l,21600r21600,l21600,xe">
            <v:stroke joinstyle="miter"/>
            <v:path gradientshapeok="t" o:connecttype="rect"/>
          </v:shapetype>
          <v:shape id="_x0000_s1354" type="#_x0000_t202" style="position:absolute;left:0;text-align:left;margin-left:470.35pt;margin-top:7.1pt;width:1in;height:14.15pt;z-index:251660288" filled="f" stroked="f">
            <v:textbox inset="1mm,0,1mm,0">
              <w:txbxContent>
                <w:p w14:paraId="39AE530D" w14:textId="77777777" w:rsidR="005A44D6" w:rsidRDefault="008E4871">
                  <w:pPr>
                    <w:spacing w:line="160" w:lineRule="exact"/>
                    <w:rPr>
                      <w:rFonts w:cs="Miriam" w:hint="cs"/>
                      <w:sz w:val="18"/>
                      <w:szCs w:val="18"/>
                      <w:rtl/>
                    </w:rPr>
                  </w:pPr>
                  <w:r>
                    <w:rPr>
                      <w:rFonts w:cs="Miriam" w:hint="cs"/>
                      <w:sz w:val="18"/>
                      <w:szCs w:val="18"/>
                      <w:rtl/>
                    </w:rPr>
                    <w:t>תחולה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E4871">
        <w:rPr>
          <w:rStyle w:val="big-number"/>
          <w:rFonts w:cs="FrankRuehl" w:hint="cs"/>
          <w:sz w:val="26"/>
          <w:szCs w:val="26"/>
          <w:rtl/>
        </w:rPr>
        <w:t>הוראות צו זה יחולו רק על מקרקעין הרשומים בלשכות רישום המקרקעין, או שנכללים בלוח רישום אשר הוגש למשרד הרישום</w:t>
      </w:r>
      <w:r>
        <w:rPr>
          <w:rStyle w:val="default"/>
          <w:rFonts w:cs="FrankRuehl" w:hint="cs"/>
          <w:rtl/>
        </w:rPr>
        <w:t>.</w:t>
      </w:r>
    </w:p>
    <w:p w14:paraId="2E7B45EA"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49FF1AD4">
          <v:shape id="_x0000_s1361" type="#_x0000_t202" style="position:absolute;left:0;text-align:left;margin-left:470.35pt;margin-top:7.1pt;width:1in;height:13.6pt;z-index:251661312" filled="f" stroked="f">
            <v:textbox inset="1mm,0,1mm,0">
              <w:txbxContent>
                <w:p w14:paraId="09E86465" w14:textId="77777777" w:rsidR="005A44D6" w:rsidRDefault="008E4871" w:rsidP="001D326B">
                  <w:pPr>
                    <w:spacing w:line="160" w:lineRule="exact"/>
                    <w:rPr>
                      <w:rFonts w:cs="Miriam" w:hint="cs"/>
                      <w:sz w:val="18"/>
                      <w:szCs w:val="18"/>
                      <w:rtl/>
                    </w:rPr>
                  </w:pPr>
                  <w:r>
                    <w:rPr>
                      <w:rFonts w:cs="Miriam" w:hint="cs"/>
                      <w:sz w:val="18"/>
                      <w:szCs w:val="18"/>
                      <w:rtl/>
                    </w:rPr>
                    <w:t>הערת אזהרה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2E532F">
        <w:rPr>
          <w:rStyle w:val="default"/>
          <w:rFonts w:cs="FrankRuehl" w:hint="cs"/>
          <w:rtl/>
        </w:rPr>
        <w:t>(א)</w:t>
      </w:r>
      <w:r w:rsidR="002E532F">
        <w:rPr>
          <w:rStyle w:val="default"/>
          <w:rFonts w:cs="FrankRuehl" w:hint="cs"/>
          <w:rtl/>
        </w:rPr>
        <w:tab/>
      </w:r>
      <w:r w:rsidR="008E4871">
        <w:rPr>
          <w:rStyle w:val="default"/>
          <w:rFonts w:cs="FrankRuehl" w:hint="cs"/>
          <w:rtl/>
        </w:rPr>
        <w:t>הוכח להנחת דעתו של הרשם כי בעל מקרקעין התחייב בכתב לשעבד או למכור את זכויותיו במקרקעין, או שיעבד זכויות אלה, ירשום הרשם על פי בקשת מי שהתחייב או מי שזכאי לפי ההתחייבות הערת אזהרה על כך</w:t>
      </w:r>
      <w:r w:rsidR="00D632D4">
        <w:rPr>
          <w:rStyle w:val="default"/>
          <w:rFonts w:cs="FrankRuehl" w:hint="cs"/>
          <w:rtl/>
        </w:rPr>
        <w:t>.</w:t>
      </w:r>
    </w:p>
    <w:p w14:paraId="4A35DD80" w14:textId="77777777" w:rsidR="008E4871" w:rsidRDefault="008E4871"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נרשמה הערת אזהרה וכל עוד לא נמחקה, לא תירשם עסקה הסותרת את תוכן ההערה, אלא בהסכמת הזכאי לפי ההתחייבות.</w:t>
      </w:r>
    </w:p>
    <w:p w14:paraId="0F7F59E2"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5AB521A3">
          <v:shape id="_x0000_s1316" type="#_x0000_t202" style="position:absolute;left:0;text-align:left;margin-left:463.5pt;margin-top:7.1pt;width:78.85pt;height:21.15pt;z-index:251657216" filled="f" stroked="f">
            <v:textbox style="mso-next-textbox:#_x0000_s1316" inset="1mm,0,1mm,0">
              <w:txbxContent>
                <w:p w14:paraId="0DBCA896" w14:textId="77777777" w:rsidR="005A44D6" w:rsidRDefault="008E4871" w:rsidP="00B115BA">
                  <w:pPr>
                    <w:spacing w:line="160" w:lineRule="exact"/>
                    <w:rPr>
                      <w:rFonts w:cs="Miriam" w:hint="cs"/>
                      <w:sz w:val="18"/>
                      <w:szCs w:val="18"/>
                      <w:rtl/>
                    </w:rPr>
                  </w:pPr>
                  <w:r>
                    <w:rPr>
                      <w:rFonts w:cs="Miriam" w:hint="cs"/>
                      <w:sz w:val="18"/>
                      <w:szCs w:val="18"/>
                      <w:rtl/>
                    </w:rPr>
                    <w:t>הוכחת זכויות וכשרות</w:t>
                  </w:r>
                </w:p>
              </w:txbxContent>
            </v:textbox>
          </v:shape>
        </w:pict>
      </w:r>
      <w:r>
        <w:rPr>
          <w:rStyle w:val="big-number"/>
          <w:rFonts w:cs="Miriam" w:hint="cs"/>
          <w:rtl/>
        </w:rPr>
        <w:t>4</w:t>
      </w:r>
      <w:r>
        <w:rPr>
          <w:rStyle w:val="default"/>
          <w:rFonts w:cs="FrankRuehl"/>
          <w:rtl/>
        </w:rPr>
        <w:t>.</w:t>
      </w:r>
      <w:r>
        <w:rPr>
          <w:rStyle w:val="default"/>
          <w:rFonts w:cs="FrankRuehl"/>
          <w:rtl/>
        </w:rPr>
        <w:tab/>
      </w:r>
      <w:r w:rsidR="00D632D4">
        <w:rPr>
          <w:rStyle w:val="default"/>
          <w:rFonts w:cs="FrankRuehl" w:hint="cs"/>
          <w:rtl/>
        </w:rPr>
        <w:t>(א)</w:t>
      </w:r>
      <w:r w:rsidR="00D632D4">
        <w:rPr>
          <w:rStyle w:val="default"/>
          <w:rFonts w:cs="FrankRuehl"/>
          <w:rtl/>
        </w:rPr>
        <w:tab/>
      </w:r>
      <w:r w:rsidR="008E4871">
        <w:rPr>
          <w:rStyle w:val="default"/>
          <w:rFonts w:cs="FrankRuehl" w:hint="cs"/>
          <w:rtl/>
        </w:rPr>
        <w:t>הרשם רשאי להתנות את רישום הערת האזהרה בהוכחת כשרות העסקה וזכויות הצדדים לעסקה. לשם האמור רשאי הרשם לדרוש מהצדדים לעסקה להתייצב בפניו או להציג כל תעודה או מסמך הדרושים לדעתו</w:t>
      </w:r>
      <w:r w:rsidR="002E532F">
        <w:rPr>
          <w:rStyle w:val="default"/>
          <w:rFonts w:cs="FrankRuehl" w:hint="cs"/>
          <w:rtl/>
        </w:rPr>
        <w:t>.</w:t>
      </w:r>
    </w:p>
    <w:p w14:paraId="23A7F989" w14:textId="77777777" w:rsidR="008E4871" w:rsidRDefault="008E4871"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המינהל האזרחי רשאי להתקין תקנות לביצועו של צו זה, ובכלל זה לגבי המסמכים אותם יש לצרף לבקשה לרישום הערת אזהרה.</w:t>
      </w:r>
    </w:p>
    <w:p w14:paraId="7E1CCCB7" w14:textId="77777777" w:rsidR="002053AF" w:rsidRDefault="002053AF" w:rsidP="0059458E">
      <w:pPr>
        <w:pStyle w:val="P00"/>
        <w:spacing w:before="72"/>
        <w:ind w:left="0" w:right="1134"/>
        <w:rPr>
          <w:rStyle w:val="default"/>
          <w:rFonts w:cs="FrankRuehl"/>
          <w:rtl/>
        </w:rPr>
      </w:pPr>
      <w:bookmarkStart w:id="4" w:name="Seif5"/>
      <w:bookmarkEnd w:id="4"/>
      <w:r>
        <w:rPr>
          <w:rFonts w:cs="Miriam"/>
          <w:szCs w:val="32"/>
          <w:rtl/>
          <w:lang w:val="he-IL"/>
        </w:rPr>
        <w:pict w14:anchorId="71D85642">
          <v:shape id="_x0000_s1344" type="#_x0000_t202" style="position:absolute;left:0;text-align:left;margin-left:463.5pt;margin-top:7.1pt;width:78.85pt;height:12.3pt;z-index:251658240" filled="f" stroked="f">
            <v:textbox inset="1mm,0,1mm,0">
              <w:txbxContent>
                <w:p w14:paraId="199E3375" w14:textId="77777777" w:rsidR="005A44D6" w:rsidRDefault="008E4871">
                  <w:pPr>
                    <w:spacing w:line="160" w:lineRule="exact"/>
                    <w:rPr>
                      <w:rFonts w:cs="Miriam" w:hint="cs"/>
                      <w:sz w:val="18"/>
                      <w:szCs w:val="18"/>
                      <w:rtl/>
                    </w:rPr>
                  </w:pPr>
                  <w:r>
                    <w:rPr>
                      <w:rFonts w:cs="Miriam" w:hint="cs"/>
                      <w:sz w:val="18"/>
                      <w:szCs w:val="18"/>
                      <w:rtl/>
                    </w:rPr>
                    <w:t>מחיקת הערה</w:t>
                  </w:r>
                </w:p>
              </w:txbxContent>
            </v:textbox>
          </v:shape>
        </w:pict>
      </w:r>
      <w:r>
        <w:rPr>
          <w:rStyle w:val="big-number"/>
          <w:rFonts w:cs="Miriam" w:hint="cs"/>
          <w:rtl/>
        </w:rPr>
        <w:t>5</w:t>
      </w:r>
      <w:r>
        <w:rPr>
          <w:rStyle w:val="default"/>
          <w:rFonts w:cs="FrankRuehl"/>
          <w:rtl/>
        </w:rPr>
        <w:t>.</w:t>
      </w:r>
      <w:r>
        <w:rPr>
          <w:rStyle w:val="default"/>
          <w:rFonts w:cs="FrankRuehl"/>
          <w:rtl/>
        </w:rPr>
        <w:tab/>
      </w:r>
      <w:r w:rsidR="008E4871">
        <w:rPr>
          <w:rStyle w:val="default"/>
          <w:rFonts w:cs="FrankRuehl" w:hint="cs"/>
          <w:rtl/>
        </w:rPr>
        <w:t>הערת אזהרה שנרשמה כאמור בסעיף 3 תימחק על פי צו של בית משפט או אם הוכח להנחת דעתו של הרשם אחד מאלה:</w:t>
      </w:r>
    </w:p>
    <w:p w14:paraId="31E6816A" w14:textId="77777777" w:rsidR="008E4871" w:rsidRDefault="008E4871" w:rsidP="008E487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הצדדים המעוניינים הסמיכו למחיקה;</w:t>
      </w:r>
    </w:p>
    <w:p w14:paraId="72FF9FF0" w14:textId="77777777" w:rsidR="008E4871" w:rsidRDefault="008E4871" w:rsidP="008E487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עילת ההערה בטלה, ובלבד שהרשם הודיע מראש לצדדים המעוניינים על כוונתו למחוק את ההערה ונתן להם זמן סביר לפנות לבית המשפט.</w:t>
      </w:r>
    </w:p>
    <w:p w14:paraId="53A7B19F" w14:textId="77777777" w:rsidR="002053AF" w:rsidRDefault="002053AF" w:rsidP="0059458E">
      <w:pPr>
        <w:pStyle w:val="P00"/>
        <w:spacing w:before="72"/>
        <w:ind w:left="0" w:right="1134"/>
        <w:rPr>
          <w:rStyle w:val="default"/>
          <w:rFonts w:cs="FrankRuehl"/>
          <w:rtl/>
        </w:rPr>
      </w:pPr>
      <w:bookmarkStart w:id="5" w:name="Seif6"/>
      <w:bookmarkEnd w:id="5"/>
      <w:r>
        <w:rPr>
          <w:rFonts w:cs="Miriam"/>
          <w:szCs w:val="32"/>
          <w:rtl/>
          <w:lang w:val="he-IL"/>
        </w:rPr>
        <w:pict w14:anchorId="13721F56">
          <v:shape id="_x0000_s1345" type="#_x0000_t202" style="position:absolute;left:0;text-align:left;margin-left:463.5pt;margin-top:7.1pt;width:78.85pt;height:12.25pt;z-index:251659264" filled="f" stroked="f">
            <v:textbox style="mso-next-textbox:#_x0000_s1345" inset="1mm,0,1mm,0">
              <w:txbxContent>
                <w:p w14:paraId="6942980A" w14:textId="77777777" w:rsidR="005A44D6" w:rsidRDefault="008E4871">
                  <w:pPr>
                    <w:spacing w:line="160" w:lineRule="exact"/>
                    <w:rPr>
                      <w:rFonts w:cs="Miriam" w:hint="cs"/>
                      <w:sz w:val="18"/>
                      <w:szCs w:val="18"/>
                      <w:rtl/>
                    </w:rPr>
                  </w:pPr>
                  <w:r>
                    <w:rPr>
                      <w:rFonts w:cs="Miriam" w:hint="cs"/>
                      <w:sz w:val="18"/>
                      <w:szCs w:val="18"/>
                      <w:rtl/>
                    </w:rPr>
                    <w:t>אגרה</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D632D4">
        <w:rPr>
          <w:rStyle w:val="default"/>
          <w:rFonts w:cs="FrankRuehl" w:hint="cs"/>
          <w:rtl/>
        </w:rPr>
        <w:t>ראש המ</w:t>
      </w:r>
      <w:r w:rsidR="008E4871">
        <w:rPr>
          <w:rStyle w:val="default"/>
          <w:rFonts w:cs="FrankRuehl" w:hint="cs"/>
          <w:rtl/>
        </w:rPr>
        <w:t>י</w:t>
      </w:r>
      <w:r w:rsidR="00D632D4">
        <w:rPr>
          <w:rStyle w:val="default"/>
          <w:rFonts w:cs="FrankRuehl" w:hint="cs"/>
          <w:rtl/>
        </w:rPr>
        <w:t>נהל האזרחי</w:t>
      </w:r>
      <w:r w:rsidR="008E4871">
        <w:rPr>
          <w:rStyle w:val="default"/>
          <w:rFonts w:cs="FrankRuehl" w:hint="cs"/>
          <w:rtl/>
        </w:rPr>
        <w:t xml:space="preserve"> רשאי לקבוע בתקנות חובת תשלום אגרות לעניין צו זה</w:t>
      </w:r>
      <w:r>
        <w:rPr>
          <w:rStyle w:val="default"/>
          <w:rFonts w:cs="FrankRuehl" w:hint="cs"/>
          <w:rtl/>
        </w:rPr>
        <w:t>.</w:t>
      </w:r>
    </w:p>
    <w:p w14:paraId="63560F47" w14:textId="77777777" w:rsidR="002053AF" w:rsidRDefault="002053AF" w:rsidP="00161FB8">
      <w:pPr>
        <w:pStyle w:val="P00"/>
        <w:spacing w:before="72"/>
        <w:ind w:left="0" w:right="1134"/>
        <w:rPr>
          <w:rStyle w:val="default"/>
          <w:rFonts w:cs="FrankRuehl"/>
          <w:rtl/>
        </w:rPr>
      </w:pPr>
      <w:bookmarkStart w:id="6" w:name="Seif2"/>
      <w:bookmarkEnd w:id="6"/>
      <w:r>
        <w:rPr>
          <w:rFonts w:cs="Miriam"/>
          <w:lang w:val="he-IL"/>
        </w:rPr>
        <w:pict w14:anchorId="1C28D560">
          <v:rect id="_x0000_s1295" style="position:absolute;left:0;text-align:left;margin-left:464.35pt;margin-top:7.1pt;width:75.05pt;height:15.05pt;z-index:251655168" o:allowincell="f" filled="f" stroked="f" strokecolor="lime" strokeweight=".25pt">
            <v:textbox style="mso-next-textbox:#_x0000_s1295" inset="0,0,0,0">
              <w:txbxContent>
                <w:p w14:paraId="4DEEDCDD" w14:textId="77777777" w:rsidR="005A44D6" w:rsidRDefault="008E4871">
                  <w:pPr>
                    <w:spacing w:line="160" w:lineRule="exact"/>
                    <w:rPr>
                      <w:rFonts w:cs="Miriam" w:hint="cs"/>
                      <w:sz w:val="18"/>
                      <w:szCs w:val="18"/>
                      <w:rtl/>
                    </w:rPr>
                  </w:pPr>
                  <w:r>
                    <w:rPr>
                      <w:rFonts w:cs="Miriam" w:hint="cs"/>
                      <w:sz w:val="18"/>
                      <w:szCs w:val="18"/>
                      <w:rtl/>
                    </w:rPr>
                    <w:t>תחילה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8E4871">
        <w:rPr>
          <w:rStyle w:val="default"/>
          <w:rFonts w:cs="FrankRuehl" w:hint="cs"/>
          <w:rtl/>
        </w:rPr>
        <w:t>תחילת תוקפו של צו זה ביום חתימתו</w:t>
      </w:r>
      <w:r>
        <w:rPr>
          <w:rStyle w:val="default"/>
          <w:rFonts w:cs="FrankRuehl" w:hint="cs"/>
          <w:rtl/>
        </w:rPr>
        <w:t>.</w:t>
      </w:r>
    </w:p>
    <w:p w14:paraId="779513EC" w14:textId="77777777" w:rsidR="002053AF" w:rsidRDefault="002053AF" w:rsidP="00161FB8">
      <w:pPr>
        <w:pStyle w:val="P00"/>
        <w:spacing w:before="72"/>
        <w:ind w:left="0" w:right="1134"/>
        <w:rPr>
          <w:rStyle w:val="default"/>
          <w:rFonts w:cs="FrankRuehl"/>
          <w:rtl/>
        </w:rPr>
      </w:pPr>
      <w:bookmarkStart w:id="7" w:name="Seif3"/>
      <w:bookmarkEnd w:id="7"/>
      <w:r>
        <w:rPr>
          <w:rFonts w:cs="Miriam"/>
          <w:lang w:val="he-IL"/>
        </w:rPr>
        <w:pict w14:anchorId="658E8104">
          <v:rect id="_x0000_s1296" style="position:absolute;left:0;text-align:left;margin-left:464.35pt;margin-top:7.1pt;width:75.05pt;height:15.15pt;z-index:251656192" o:allowincell="f" filled="f" stroked="f" strokecolor="lime" strokeweight=".25pt">
            <v:textbox style="mso-next-textbox:#_x0000_s1296" inset="0,0,0,0">
              <w:txbxContent>
                <w:p w14:paraId="78D0C536" w14:textId="77777777" w:rsidR="005A44D6" w:rsidRDefault="008E4871" w:rsidP="00A46F6E">
                  <w:pPr>
                    <w:spacing w:line="160" w:lineRule="exact"/>
                    <w:rPr>
                      <w:rFonts w:cs="Miriam" w:hint="cs"/>
                      <w:sz w:val="18"/>
                      <w:szCs w:val="18"/>
                      <w:rtl/>
                    </w:rPr>
                  </w:pPr>
                  <w:r>
                    <w:rPr>
                      <w:rFonts w:cs="Miriam" w:hint="cs"/>
                      <w:sz w:val="18"/>
                      <w:szCs w:val="18"/>
                      <w:rtl/>
                    </w:rPr>
                    <w:t>השם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8E4871">
        <w:rPr>
          <w:rStyle w:val="default"/>
          <w:rFonts w:cs="FrankRuehl" w:hint="cs"/>
          <w:rtl/>
        </w:rPr>
        <w:t>צו זה יקרא: "צו בדבר מקרקעין (הערת אזהרה) (יהודה והשומרון) (מס' 1795), התשע"ח-2018</w:t>
      </w:r>
      <w:r w:rsidR="00B91D00">
        <w:rPr>
          <w:rStyle w:val="default"/>
          <w:rFonts w:cs="FrankRuehl" w:hint="cs"/>
          <w:rtl/>
        </w:rPr>
        <w:t>.</w:t>
      </w:r>
    </w:p>
    <w:p w14:paraId="2D2A2B9D" w14:textId="77777777" w:rsidR="002053AF" w:rsidRDefault="002053AF" w:rsidP="00911999">
      <w:pPr>
        <w:pStyle w:val="sig-0"/>
        <w:tabs>
          <w:tab w:val="clear" w:pos="4820"/>
          <w:tab w:val="center" w:pos="5670"/>
        </w:tabs>
        <w:spacing w:before="72"/>
        <w:ind w:left="0" w:right="1134"/>
        <w:rPr>
          <w:rFonts w:cs="FrankRuehl" w:hint="cs"/>
          <w:sz w:val="26"/>
          <w:rtl/>
        </w:rPr>
      </w:pPr>
    </w:p>
    <w:p w14:paraId="45D7E8A5" w14:textId="77777777" w:rsidR="00D861ED" w:rsidRDefault="00D861ED" w:rsidP="00911999">
      <w:pPr>
        <w:pStyle w:val="sig-0"/>
        <w:tabs>
          <w:tab w:val="clear" w:pos="4820"/>
          <w:tab w:val="center" w:pos="5670"/>
        </w:tabs>
        <w:spacing w:before="72"/>
        <w:ind w:left="0" w:right="1134"/>
        <w:rPr>
          <w:rFonts w:cs="FrankRuehl"/>
          <w:sz w:val="26"/>
          <w:rtl/>
        </w:rPr>
      </w:pPr>
    </w:p>
    <w:p w14:paraId="0704EE24" w14:textId="77777777" w:rsidR="00E27270" w:rsidRDefault="00E27270" w:rsidP="00911999">
      <w:pPr>
        <w:pStyle w:val="sig-0"/>
        <w:tabs>
          <w:tab w:val="clear" w:pos="4820"/>
          <w:tab w:val="center" w:pos="5670"/>
        </w:tabs>
        <w:spacing w:before="72"/>
        <w:ind w:left="0" w:right="1134"/>
        <w:rPr>
          <w:rFonts w:cs="FrankRuehl" w:hint="cs"/>
          <w:sz w:val="26"/>
          <w:rtl/>
        </w:rPr>
      </w:pPr>
    </w:p>
    <w:p w14:paraId="633099A4" w14:textId="77777777" w:rsidR="00911999" w:rsidRDefault="008E4871" w:rsidP="00B753F4">
      <w:pPr>
        <w:pStyle w:val="sig-0"/>
        <w:tabs>
          <w:tab w:val="clear" w:pos="4820"/>
          <w:tab w:val="center" w:pos="5670"/>
        </w:tabs>
        <w:spacing w:before="72"/>
        <w:ind w:left="0" w:right="1134"/>
        <w:rPr>
          <w:rFonts w:cs="FrankRuehl" w:hint="cs"/>
          <w:sz w:val="26"/>
          <w:rtl/>
        </w:rPr>
      </w:pPr>
      <w:r>
        <w:rPr>
          <w:rFonts w:cs="FrankRuehl" w:hint="cs"/>
          <w:sz w:val="26"/>
          <w:rtl/>
        </w:rPr>
        <w:lastRenderedPageBreak/>
        <w:t>כ"ט בשבט התשע"ח (7 בפברואר 2018</w:t>
      </w:r>
      <w:r w:rsidR="00911999">
        <w:rPr>
          <w:rFonts w:cs="FrankRuehl" w:hint="cs"/>
          <w:sz w:val="26"/>
          <w:rtl/>
        </w:rPr>
        <w:t>)</w:t>
      </w:r>
      <w:r w:rsidR="00911999">
        <w:rPr>
          <w:rFonts w:cs="FrankRuehl" w:hint="cs"/>
          <w:sz w:val="26"/>
          <w:rtl/>
        </w:rPr>
        <w:tab/>
      </w:r>
      <w:r w:rsidR="001C16D7">
        <w:rPr>
          <w:rFonts w:cs="FrankRuehl" w:hint="cs"/>
          <w:sz w:val="26"/>
          <w:rtl/>
        </w:rPr>
        <w:t>רוני נומה</w:t>
      </w:r>
      <w:r w:rsidR="00911999">
        <w:rPr>
          <w:rFonts w:cs="FrankRuehl" w:hint="cs"/>
          <w:sz w:val="26"/>
          <w:rtl/>
        </w:rPr>
        <w:t>, אלוף</w:t>
      </w:r>
    </w:p>
    <w:p w14:paraId="5A831C1E"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B753F4">
        <w:rPr>
          <w:rFonts w:cs="FrankRuehl" w:hint="cs"/>
          <w:sz w:val="22"/>
          <w:szCs w:val="22"/>
          <w:rtl/>
        </w:rPr>
        <w:t>כוחו</w:t>
      </w:r>
      <w:r w:rsidR="001C16D7">
        <w:rPr>
          <w:rFonts w:cs="FrankRuehl" w:hint="cs"/>
          <w:sz w:val="22"/>
          <w:szCs w:val="22"/>
          <w:rtl/>
        </w:rPr>
        <w:t>ת</w:t>
      </w:r>
      <w:r w:rsidR="00B753F4">
        <w:rPr>
          <w:rFonts w:cs="FrankRuehl" w:hint="cs"/>
          <w:sz w:val="22"/>
          <w:szCs w:val="22"/>
          <w:rtl/>
        </w:rPr>
        <w:t xml:space="preserve"> צה"ל</w:t>
      </w:r>
    </w:p>
    <w:p w14:paraId="72DA882E"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44A75262" w14:textId="77777777" w:rsidR="008E4871" w:rsidRDefault="008E4871" w:rsidP="00911999">
      <w:pPr>
        <w:pStyle w:val="sig-0"/>
        <w:tabs>
          <w:tab w:val="clear" w:pos="4820"/>
          <w:tab w:val="center" w:pos="5670"/>
        </w:tabs>
        <w:spacing w:before="72"/>
        <w:ind w:left="0" w:right="1134"/>
        <w:rPr>
          <w:rFonts w:cs="FrankRuehl" w:hint="cs"/>
          <w:sz w:val="26"/>
          <w:rtl/>
        </w:rPr>
      </w:pPr>
    </w:p>
    <w:p w14:paraId="6210553D" w14:textId="77777777" w:rsidR="00AB2703" w:rsidRDefault="00AB2703" w:rsidP="00911999">
      <w:pPr>
        <w:pStyle w:val="sig-0"/>
        <w:spacing w:before="72"/>
        <w:ind w:left="0" w:right="1134"/>
        <w:rPr>
          <w:rFonts w:cs="FrankRuehl"/>
          <w:sz w:val="26"/>
          <w:rtl/>
        </w:rPr>
      </w:pPr>
    </w:p>
    <w:p w14:paraId="27A2E49F" w14:textId="77777777" w:rsidR="00B12D1A" w:rsidRDefault="00B12D1A" w:rsidP="00911999">
      <w:pPr>
        <w:pStyle w:val="sig-0"/>
        <w:spacing w:before="72"/>
        <w:ind w:left="0" w:right="1134"/>
        <w:rPr>
          <w:rFonts w:cs="FrankRuehl"/>
          <w:sz w:val="26"/>
          <w:rtl/>
        </w:rPr>
      </w:pPr>
    </w:p>
    <w:p w14:paraId="2F296AF9" w14:textId="77777777" w:rsidR="00B12D1A" w:rsidRDefault="00B12D1A" w:rsidP="00911999">
      <w:pPr>
        <w:pStyle w:val="sig-0"/>
        <w:spacing w:before="72"/>
        <w:ind w:left="0" w:right="1134"/>
        <w:rPr>
          <w:rFonts w:cs="FrankRuehl"/>
          <w:sz w:val="26"/>
          <w:rtl/>
        </w:rPr>
      </w:pPr>
    </w:p>
    <w:p w14:paraId="62F9A9AC" w14:textId="77777777" w:rsidR="00B12D1A" w:rsidRDefault="00B12D1A" w:rsidP="00B12D1A">
      <w:pPr>
        <w:pStyle w:val="sig-0"/>
        <w:spacing w:before="72"/>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EEF15CF" w14:textId="77777777" w:rsidR="00AB2703" w:rsidRPr="00B12D1A" w:rsidRDefault="00AB2703" w:rsidP="00B12D1A">
      <w:pPr>
        <w:pStyle w:val="sig-0"/>
        <w:spacing w:before="72"/>
        <w:ind w:left="0" w:right="1134"/>
        <w:jc w:val="center"/>
        <w:rPr>
          <w:rFonts w:cs="David"/>
          <w:color w:val="0000FF"/>
          <w:sz w:val="26"/>
          <w:szCs w:val="24"/>
          <w:u w:val="single"/>
          <w:rtl/>
        </w:rPr>
      </w:pPr>
    </w:p>
    <w:sectPr w:rsidR="00AB2703" w:rsidRPr="00B12D1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4241" w14:textId="77777777" w:rsidR="00A4480A" w:rsidRDefault="00A4480A">
      <w:r>
        <w:separator/>
      </w:r>
    </w:p>
  </w:endnote>
  <w:endnote w:type="continuationSeparator" w:id="0">
    <w:p w14:paraId="0F5AE106" w14:textId="77777777" w:rsidR="00A4480A" w:rsidRDefault="00A4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D696"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DD1FBE"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17A168"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138F"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2D1A">
      <w:rPr>
        <w:rFonts w:hAnsi="FrankRuehl" w:cs="FrankRuehl"/>
        <w:noProof/>
        <w:sz w:val="24"/>
        <w:szCs w:val="24"/>
        <w:rtl/>
      </w:rPr>
      <w:t>3</w:t>
    </w:r>
    <w:r>
      <w:rPr>
        <w:rFonts w:hAnsi="FrankRuehl" w:cs="FrankRuehl"/>
        <w:sz w:val="24"/>
        <w:szCs w:val="24"/>
        <w:rtl/>
      </w:rPr>
      <w:fldChar w:fldCharType="end"/>
    </w:r>
  </w:p>
  <w:p w14:paraId="0EC71025"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C321F4"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58B0" w14:textId="77777777" w:rsidR="00A4480A" w:rsidRDefault="00A4480A">
      <w:pPr>
        <w:pStyle w:val="a5"/>
        <w:spacing w:before="60"/>
        <w:ind w:right="1134"/>
        <w:rPr>
          <w:rFonts w:cs="David"/>
          <w:sz w:val="24"/>
          <w:szCs w:val="24"/>
        </w:rPr>
      </w:pPr>
      <w:r>
        <w:separator/>
      </w:r>
    </w:p>
  </w:footnote>
  <w:footnote w:type="continuationSeparator" w:id="0">
    <w:p w14:paraId="5FD64A83" w14:textId="77777777" w:rsidR="00A4480A" w:rsidRDefault="00A4480A">
      <w:pPr>
        <w:spacing w:before="60"/>
        <w:ind w:right="1134"/>
      </w:pPr>
      <w:r>
        <w:separator/>
      </w:r>
    </w:p>
  </w:footnote>
  <w:footnote w:id="1">
    <w:p w14:paraId="6C0CB1B1" w14:textId="77777777" w:rsidR="00393696" w:rsidRPr="00366DD7" w:rsidRDefault="005A44D6" w:rsidP="003936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93696">
          <w:rPr>
            <w:rStyle w:val="Hyperlink"/>
            <w:rFonts w:cs="FrankRuehl" w:hint="cs"/>
            <w:rtl/>
          </w:rPr>
          <w:t xml:space="preserve">קובץ המנשרים מס' </w:t>
        </w:r>
        <w:r w:rsidR="0021569F" w:rsidRPr="00393696">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21569F">
        <w:rPr>
          <w:rFonts w:cs="FrankRuehl" w:hint="cs"/>
          <w:rtl/>
        </w:rPr>
        <w:t>82</w:t>
      </w:r>
      <w:r w:rsidR="008E4871">
        <w:rPr>
          <w:rFonts w:cs="FrankRuehl" w:hint="cs"/>
          <w:rtl/>
        </w:rPr>
        <w:t>96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E8BA"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A4526F3"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F40A0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403C"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8E4871">
      <w:rPr>
        <w:rFonts w:hAnsi="FrankRuehl" w:cs="FrankRuehl" w:hint="cs"/>
        <w:color w:val="000000"/>
        <w:sz w:val="28"/>
        <w:szCs w:val="28"/>
        <w:rtl/>
      </w:rPr>
      <w:t>מקרקעין (הערת אזהרה)</w:t>
    </w:r>
    <w:r>
      <w:rPr>
        <w:rFonts w:hAnsi="FrankRuehl" w:cs="FrankRuehl" w:hint="cs"/>
        <w:color w:val="000000"/>
        <w:sz w:val="28"/>
        <w:szCs w:val="28"/>
        <w:rtl/>
      </w:rPr>
      <w:t xml:space="preserve"> (יהודה והשומרון) (מס' </w:t>
    </w:r>
    <w:r w:rsidR="008E4871">
      <w:rPr>
        <w:rFonts w:hAnsi="FrankRuehl" w:cs="FrankRuehl" w:hint="cs"/>
        <w:color w:val="000000"/>
        <w:sz w:val="28"/>
        <w:szCs w:val="28"/>
        <w:rtl/>
      </w:rPr>
      <w:t>1795</w:t>
    </w:r>
    <w:r>
      <w:rPr>
        <w:rFonts w:hAnsi="FrankRuehl" w:cs="FrankRuehl" w:hint="cs"/>
        <w:color w:val="000000"/>
        <w:sz w:val="28"/>
        <w:szCs w:val="28"/>
        <w:rtl/>
      </w:rPr>
      <w:t xml:space="preserve">), </w:t>
    </w:r>
    <w:r w:rsidR="0021569F">
      <w:rPr>
        <w:rFonts w:hAnsi="FrankRuehl" w:cs="FrankRuehl" w:hint="cs"/>
        <w:color w:val="000000"/>
        <w:sz w:val="28"/>
        <w:szCs w:val="28"/>
        <w:rtl/>
      </w:rPr>
      <w:t>תשע"</w:t>
    </w:r>
    <w:r w:rsidR="008E4871">
      <w:rPr>
        <w:rFonts w:hAnsi="FrankRuehl" w:cs="FrankRuehl" w:hint="cs"/>
        <w:color w:val="000000"/>
        <w:sz w:val="28"/>
        <w:szCs w:val="28"/>
        <w:rtl/>
      </w:rPr>
      <w:t>ח</w:t>
    </w:r>
    <w:r w:rsidR="0021569F">
      <w:rPr>
        <w:rFonts w:hAnsi="FrankRuehl" w:cs="FrankRuehl" w:hint="cs"/>
        <w:color w:val="000000"/>
        <w:sz w:val="28"/>
        <w:szCs w:val="28"/>
        <w:rtl/>
      </w:rPr>
      <w:t>-201</w:t>
    </w:r>
    <w:r w:rsidR="008E4871">
      <w:rPr>
        <w:rFonts w:hAnsi="FrankRuehl" w:cs="FrankRuehl" w:hint="cs"/>
        <w:color w:val="000000"/>
        <w:sz w:val="28"/>
        <w:szCs w:val="28"/>
        <w:rtl/>
      </w:rPr>
      <w:t>8</w:t>
    </w:r>
  </w:p>
  <w:p w14:paraId="28A1305D"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C92F4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7828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70A3B"/>
    <w:rsid w:val="000752E2"/>
    <w:rsid w:val="00076B97"/>
    <w:rsid w:val="000B2E3C"/>
    <w:rsid w:val="000C4192"/>
    <w:rsid w:val="000E5669"/>
    <w:rsid w:val="00110A03"/>
    <w:rsid w:val="0012098B"/>
    <w:rsid w:val="00120B4B"/>
    <w:rsid w:val="001417D2"/>
    <w:rsid w:val="001566AF"/>
    <w:rsid w:val="00161FB8"/>
    <w:rsid w:val="00164CE3"/>
    <w:rsid w:val="00171444"/>
    <w:rsid w:val="00175C1E"/>
    <w:rsid w:val="001956C4"/>
    <w:rsid w:val="001A4EF1"/>
    <w:rsid w:val="001C16D7"/>
    <w:rsid w:val="001C4F84"/>
    <w:rsid w:val="001C5197"/>
    <w:rsid w:val="001D2729"/>
    <w:rsid w:val="001D326B"/>
    <w:rsid w:val="001E3CA0"/>
    <w:rsid w:val="001F07F4"/>
    <w:rsid w:val="002053AF"/>
    <w:rsid w:val="0021569F"/>
    <w:rsid w:val="002200A5"/>
    <w:rsid w:val="0022095D"/>
    <w:rsid w:val="00225D12"/>
    <w:rsid w:val="00226334"/>
    <w:rsid w:val="00231D1F"/>
    <w:rsid w:val="00252181"/>
    <w:rsid w:val="00253756"/>
    <w:rsid w:val="00253D46"/>
    <w:rsid w:val="0027044A"/>
    <w:rsid w:val="0027455F"/>
    <w:rsid w:val="00283EF9"/>
    <w:rsid w:val="00295AE6"/>
    <w:rsid w:val="002C53D7"/>
    <w:rsid w:val="002E532F"/>
    <w:rsid w:val="002F483E"/>
    <w:rsid w:val="00330638"/>
    <w:rsid w:val="00337B5A"/>
    <w:rsid w:val="00342BB5"/>
    <w:rsid w:val="00362B5A"/>
    <w:rsid w:val="00366DD7"/>
    <w:rsid w:val="00393696"/>
    <w:rsid w:val="003B2BA1"/>
    <w:rsid w:val="003E631F"/>
    <w:rsid w:val="00416846"/>
    <w:rsid w:val="00445513"/>
    <w:rsid w:val="00467356"/>
    <w:rsid w:val="004905F7"/>
    <w:rsid w:val="004B01BB"/>
    <w:rsid w:val="004B3ACE"/>
    <w:rsid w:val="0055782C"/>
    <w:rsid w:val="0059458E"/>
    <w:rsid w:val="005A44D6"/>
    <w:rsid w:val="005A4581"/>
    <w:rsid w:val="005E626F"/>
    <w:rsid w:val="00676224"/>
    <w:rsid w:val="006852E3"/>
    <w:rsid w:val="006C2E68"/>
    <w:rsid w:val="006E03A8"/>
    <w:rsid w:val="006E58AE"/>
    <w:rsid w:val="006F25D4"/>
    <w:rsid w:val="00722F79"/>
    <w:rsid w:val="007315F5"/>
    <w:rsid w:val="0073717C"/>
    <w:rsid w:val="00750287"/>
    <w:rsid w:val="007722EA"/>
    <w:rsid w:val="007810DD"/>
    <w:rsid w:val="007A4322"/>
    <w:rsid w:val="007F38BA"/>
    <w:rsid w:val="008344B0"/>
    <w:rsid w:val="008472ED"/>
    <w:rsid w:val="00847791"/>
    <w:rsid w:val="008738AD"/>
    <w:rsid w:val="008A7AD5"/>
    <w:rsid w:val="008B677C"/>
    <w:rsid w:val="008C3F50"/>
    <w:rsid w:val="008C4B4A"/>
    <w:rsid w:val="008D6158"/>
    <w:rsid w:val="008E4871"/>
    <w:rsid w:val="008F1423"/>
    <w:rsid w:val="00903F0D"/>
    <w:rsid w:val="00911999"/>
    <w:rsid w:val="0091422C"/>
    <w:rsid w:val="009377E0"/>
    <w:rsid w:val="00963708"/>
    <w:rsid w:val="00964792"/>
    <w:rsid w:val="00A273DB"/>
    <w:rsid w:val="00A4480A"/>
    <w:rsid w:val="00A46F6E"/>
    <w:rsid w:val="00A80DFC"/>
    <w:rsid w:val="00AB2703"/>
    <w:rsid w:val="00AC0312"/>
    <w:rsid w:val="00AC7870"/>
    <w:rsid w:val="00B01E76"/>
    <w:rsid w:val="00B115BA"/>
    <w:rsid w:val="00B12D1A"/>
    <w:rsid w:val="00B60784"/>
    <w:rsid w:val="00B65E7A"/>
    <w:rsid w:val="00B753F4"/>
    <w:rsid w:val="00B831A9"/>
    <w:rsid w:val="00B91D00"/>
    <w:rsid w:val="00BA1195"/>
    <w:rsid w:val="00BF0122"/>
    <w:rsid w:val="00C32A0D"/>
    <w:rsid w:val="00C3798C"/>
    <w:rsid w:val="00C43871"/>
    <w:rsid w:val="00C52536"/>
    <w:rsid w:val="00C544E6"/>
    <w:rsid w:val="00C67430"/>
    <w:rsid w:val="00C71695"/>
    <w:rsid w:val="00C72900"/>
    <w:rsid w:val="00CA2BB3"/>
    <w:rsid w:val="00CC0D05"/>
    <w:rsid w:val="00CE01DC"/>
    <w:rsid w:val="00CE6730"/>
    <w:rsid w:val="00D019EB"/>
    <w:rsid w:val="00D0326C"/>
    <w:rsid w:val="00D306C4"/>
    <w:rsid w:val="00D36C0B"/>
    <w:rsid w:val="00D632D4"/>
    <w:rsid w:val="00D63DE1"/>
    <w:rsid w:val="00D8283F"/>
    <w:rsid w:val="00D861ED"/>
    <w:rsid w:val="00D86C81"/>
    <w:rsid w:val="00D92047"/>
    <w:rsid w:val="00D93A30"/>
    <w:rsid w:val="00E2067E"/>
    <w:rsid w:val="00E27270"/>
    <w:rsid w:val="00E27D9A"/>
    <w:rsid w:val="00E36A59"/>
    <w:rsid w:val="00E614C2"/>
    <w:rsid w:val="00EF1697"/>
    <w:rsid w:val="00F00F34"/>
    <w:rsid w:val="00F313BE"/>
    <w:rsid w:val="00F47E73"/>
    <w:rsid w:val="00F605BA"/>
    <w:rsid w:val="00F844D8"/>
    <w:rsid w:val="00F84585"/>
    <w:rsid w:val="00F871A1"/>
    <w:rsid w:val="00FA5206"/>
    <w:rsid w:val="00FC5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BAB0CC"/>
  <w15:chartTrackingRefBased/>
  <w15:docId w15:val="{5AA1AA4E-ED8D-4E85-AFAF-4CB648AF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2834</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מקרקעין (הערת אזהרה) (יהודה והשומרון) (מס' 1795), תשע"ח-2018</vt:lpwstr>
  </property>
  <property fmtid="{D5CDD505-2E9C-101B-9397-08002B2CF9AE}" pid="4" name="LAWNUMBER">
    <vt:lpwstr>0081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קמצ"מ#פורסם קובץ ‏המנשרים מס' 246 #מחודש מאי 2018 עמ' 8296‏</vt:lpwstr>
  </property>
</Properties>
</file>