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05450" w14:textId="77777777" w:rsidR="00447C01" w:rsidRDefault="00447C01">
      <w:pPr>
        <w:pStyle w:val="big-header"/>
        <w:ind w:left="0" w:right="1134"/>
        <w:rPr>
          <w:rFonts w:cs="FrankRuehl" w:hint="cs"/>
          <w:sz w:val="32"/>
          <w:rtl/>
        </w:rPr>
      </w:pPr>
      <w:r>
        <w:rPr>
          <w:rFonts w:cs="FrankRuehl" w:hint="cs"/>
          <w:sz w:val="32"/>
          <w:rtl/>
        </w:rPr>
        <w:t>יהודה והשומרון</w:t>
      </w:r>
    </w:p>
    <w:p w14:paraId="0F3F82D7" w14:textId="77777777" w:rsidR="00447C01" w:rsidRDefault="00447C01">
      <w:pPr>
        <w:pStyle w:val="big-header"/>
        <w:ind w:left="0" w:right="1134"/>
        <w:rPr>
          <w:rFonts w:cs="FrankRuehl" w:hint="cs"/>
          <w:sz w:val="32"/>
          <w:rtl/>
        </w:rPr>
      </w:pPr>
      <w:r>
        <w:rPr>
          <w:rFonts w:cs="FrankRuehl" w:hint="cs"/>
          <w:sz w:val="32"/>
          <w:rtl/>
        </w:rPr>
        <w:t>צו בדבר סגירת תיקים (יהודה והשומרון) (מס' 841), תש"ם-1980</w:t>
      </w:r>
    </w:p>
    <w:p w14:paraId="128B3CAA" w14:textId="77777777" w:rsidR="006F6137" w:rsidRDefault="006F6137">
      <w:pPr>
        <w:pStyle w:val="big-header"/>
        <w:ind w:left="0" w:right="1134"/>
        <w:rPr>
          <w:rFonts w:cs="FrankRuehl" w:hint="cs"/>
          <w:sz w:val="32"/>
          <w:rtl/>
        </w:rPr>
      </w:pPr>
    </w:p>
    <w:p w14:paraId="02A2EEF9" w14:textId="77777777" w:rsidR="00447C01" w:rsidRDefault="00447C01">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A64B3" w:rsidRPr="00EA64B3" w14:paraId="1FC3EFCE" w14:textId="77777777" w:rsidTr="00EA64B3">
        <w:tblPrEx>
          <w:tblCellMar>
            <w:top w:w="0" w:type="dxa"/>
            <w:bottom w:w="0" w:type="dxa"/>
          </w:tblCellMar>
        </w:tblPrEx>
        <w:tc>
          <w:tcPr>
            <w:tcW w:w="1247" w:type="dxa"/>
          </w:tcPr>
          <w:p w14:paraId="3FB67630" w14:textId="77777777" w:rsidR="00EA64B3" w:rsidRPr="00EA64B3" w:rsidRDefault="00EA64B3" w:rsidP="00EA64B3">
            <w:pPr>
              <w:rPr>
                <w:rFonts w:cs="Frankruhel" w:hint="cs"/>
                <w:rtl/>
              </w:rPr>
            </w:pPr>
            <w:r>
              <w:rPr>
                <w:rtl/>
              </w:rPr>
              <w:t xml:space="preserve">סעיף 1 </w:t>
            </w:r>
          </w:p>
        </w:tc>
        <w:tc>
          <w:tcPr>
            <w:tcW w:w="5669" w:type="dxa"/>
          </w:tcPr>
          <w:p w14:paraId="55E0DDF7" w14:textId="77777777" w:rsidR="00EA64B3" w:rsidRPr="00EA64B3" w:rsidRDefault="00EA64B3" w:rsidP="00EA64B3">
            <w:pPr>
              <w:rPr>
                <w:rFonts w:cs="Frankruhel" w:hint="cs"/>
                <w:rtl/>
              </w:rPr>
            </w:pPr>
            <w:r>
              <w:rPr>
                <w:rtl/>
              </w:rPr>
              <w:t>סמכות לסגור תיק או לעכב הליכים</w:t>
            </w:r>
          </w:p>
        </w:tc>
        <w:tc>
          <w:tcPr>
            <w:tcW w:w="567" w:type="dxa"/>
          </w:tcPr>
          <w:p w14:paraId="2EB024FF" w14:textId="77777777" w:rsidR="00EA64B3" w:rsidRPr="00EA64B3" w:rsidRDefault="00EA64B3" w:rsidP="00EA64B3">
            <w:pPr>
              <w:rPr>
                <w:rStyle w:val="Hyperlink"/>
                <w:rFonts w:hint="cs"/>
                <w:rtl/>
              </w:rPr>
            </w:pPr>
            <w:hyperlink w:anchor="Seif1" w:tooltip="סמכות לסגור תיק או לעכב הליכים" w:history="1">
              <w:r w:rsidRPr="00EA64B3">
                <w:rPr>
                  <w:rStyle w:val="Hyperlink"/>
                </w:rPr>
                <w:t>Go</w:t>
              </w:r>
            </w:hyperlink>
          </w:p>
        </w:tc>
        <w:tc>
          <w:tcPr>
            <w:tcW w:w="850" w:type="dxa"/>
          </w:tcPr>
          <w:p w14:paraId="3688236D" w14:textId="77777777" w:rsidR="00EA64B3" w:rsidRPr="00EA64B3" w:rsidRDefault="00EA64B3" w:rsidP="00EA64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A64B3" w:rsidRPr="00EA64B3" w14:paraId="0D013600" w14:textId="77777777" w:rsidTr="00EA64B3">
        <w:tblPrEx>
          <w:tblCellMar>
            <w:top w:w="0" w:type="dxa"/>
            <w:bottom w:w="0" w:type="dxa"/>
          </w:tblCellMar>
        </w:tblPrEx>
        <w:tc>
          <w:tcPr>
            <w:tcW w:w="1247" w:type="dxa"/>
          </w:tcPr>
          <w:p w14:paraId="3AD37832" w14:textId="77777777" w:rsidR="00EA64B3" w:rsidRPr="00EA64B3" w:rsidRDefault="00EA64B3" w:rsidP="00EA64B3">
            <w:pPr>
              <w:rPr>
                <w:rFonts w:cs="Frankruhel" w:hint="cs"/>
                <w:rtl/>
              </w:rPr>
            </w:pPr>
            <w:r>
              <w:rPr>
                <w:rtl/>
              </w:rPr>
              <w:t xml:space="preserve">סעיף 2 </w:t>
            </w:r>
          </w:p>
        </w:tc>
        <w:tc>
          <w:tcPr>
            <w:tcW w:w="5669" w:type="dxa"/>
          </w:tcPr>
          <w:p w14:paraId="5DB6DF25" w14:textId="77777777" w:rsidR="00EA64B3" w:rsidRPr="00EA64B3" w:rsidRDefault="00EA64B3" w:rsidP="00EA64B3">
            <w:pPr>
              <w:rPr>
                <w:rFonts w:cs="Frankruhel" w:hint="cs"/>
                <w:rtl/>
              </w:rPr>
            </w:pPr>
            <w:r>
              <w:rPr>
                <w:rtl/>
              </w:rPr>
              <w:t>דין תיק חקירה שהועבר לתובע הצבאי</w:t>
            </w:r>
          </w:p>
        </w:tc>
        <w:tc>
          <w:tcPr>
            <w:tcW w:w="567" w:type="dxa"/>
          </w:tcPr>
          <w:p w14:paraId="4B9B6522" w14:textId="77777777" w:rsidR="00EA64B3" w:rsidRPr="00EA64B3" w:rsidRDefault="00EA64B3" w:rsidP="00EA64B3">
            <w:pPr>
              <w:rPr>
                <w:rStyle w:val="Hyperlink"/>
                <w:rFonts w:hint="cs"/>
                <w:rtl/>
              </w:rPr>
            </w:pPr>
            <w:hyperlink w:anchor="Seif2" w:tooltip="דין תיק חקירה שהועבר לתובע הצבאי" w:history="1">
              <w:r w:rsidRPr="00EA64B3">
                <w:rPr>
                  <w:rStyle w:val="Hyperlink"/>
                </w:rPr>
                <w:t>Go</w:t>
              </w:r>
            </w:hyperlink>
          </w:p>
        </w:tc>
        <w:tc>
          <w:tcPr>
            <w:tcW w:w="850" w:type="dxa"/>
          </w:tcPr>
          <w:p w14:paraId="2383A943" w14:textId="77777777" w:rsidR="00EA64B3" w:rsidRPr="00EA64B3" w:rsidRDefault="00EA64B3" w:rsidP="00EA64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EA64B3" w:rsidRPr="00EA64B3" w14:paraId="61BE0CD6" w14:textId="77777777" w:rsidTr="00EA64B3">
        <w:tblPrEx>
          <w:tblCellMar>
            <w:top w:w="0" w:type="dxa"/>
            <w:bottom w:w="0" w:type="dxa"/>
          </w:tblCellMar>
        </w:tblPrEx>
        <w:tc>
          <w:tcPr>
            <w:tcW w:w="1247" w:type="dxa"/>
          </w:tcPr>
          <w:p w14:paraId="02815C7F" w14:textId="77777777" w:rsidR="00EA64B3" w:rsidRPr="00EA64B3" w:rsidRDefault="00EA64B3" w:rsidP="00EA64B3">
            <w:pPr>
              <w:rPr>
                <w:rFonts w:cs="Frankruhel" w:hint="cs"/>
                <w:rtl/>
              </w:rPr>
            </w:pPr>
            <w:r>
              <w:rPr>
                <w:rtl/>
              </w:rPr>
              <w:t xml:space="preserve">סעיף 3 </w:t>
            </w:r>
          </w:p>
        </w:tc>
        <w:tc>
          <w:tcPr>
            <w:tcW w:w="5669" w:type="dxa"/>
          </w:tcPr>
          <w:p w14:paraId="37C613FB" w14:textId="77777777" w:rsidR="00EA64B3" w:rsidRPr="00EA64B3" w:rsidRDefault="00EA64B3" w:rsidP="00EA64B3">
            <w:pPr>
              <w:rPr>
                <w:rFonts w:cs="Frankruhel" w:hint="cs"/>
                <w:rtl/>
              </w:rPr>
            </w:pPr>
            <w:r>
              <w:rPr>
                <w:rtl/>
              </w:rPr>
              <w:t>תחילת תוקף</w:t>
            </w:r>
          </w:p>
        </w:tc>
        <w:tc>
          <w:tcPr>
            <w:tcW w:w="567" w:type="dxa"/>
          </w:tcPr>
          <w:p w14:paraId="44F96598" w14:textId="77777777" w:rsidR="00EA64B3" w:rsidRPr="00EA64B3" w:rsidRDefault="00EA64B3" w:rsidP="00EA64B3">
            <w:pPr>
              <w:rPr>
                <w:rStyle w:val="Hyperlink"/>
                <w:rFonts w:hint="cs"/>
                <w:rtl/>
              </w:rPr>
            </w:pPr>
            <w:hyperlink w:anchor="Seif3" w:tooltip="תחילת תוקף" w:history="1">
              <w:r w:rsidRPr="00EA64B3">
                <w:rPr>
                  <w:rStyle w:val="Hyperlink"/>
                </w:rPr>
                <w:t>Go</w:t>
              </w:r>
            </w:hyperlink>
          </w:p>
        </w:tc>
        <w:tc>
          <w:tcPr>
            <w:tcW w:w="850" w:type="dxa"/>
          </w:tcPr>
          <w:p w14:paraId="2EBB47CB" w14:textId="77777777" w:rsidR="00EA64B3" w:rsidRPr="00EA64B3" w:rsidRDefault="00EA64B3" w:rsidP="00EA64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EA64B3" w:rsidRPr="00EA64B3" w14:paraId="267A668D" w14:textId="77777777" w:rsidTr="00EA64B3">
        <w:tblPrEx>
          <w:tblCellMar>
            <w:top w:w="0" w:type="dxa"/>
            <w:bottom w:w="0" w:type="dxa"/>
          </w:tblCellMar>
        </w:tblPrEx>
        <w:tc>
          <w:tcPr>
            <w:tcW w:w="1247" w:type="dxa"/>
          </w:tcPr>
          <w:p w14:paraId="52FF62A1" w14:textId="77777777" w:rsidR="00EA64B3" w:rsidRPr="00EA64B3" w:rsidRDefault="00EA64B3" w:rsidP="00EA64B3">
            <w:pPr>
              <w:rPr>
                <w:rFonts w:cs="Frankruhel" w:hint="cs"/>
                <w:rtl/>
              </w:rPr>
            </w:pPr>
            <w:r>
              <w:rPr>
                <w:rtl/>
              </w:rPr>
              <w:t xml:space="preserve">סעיף 4 </w:t>
            </w:r>
          </w:p>
        </w:tc>
        <w:tc>
          <w:tcPr>
            <w:tcW w:w="5669" w:type="dxa"/>
          </w:tcPr>
          <w:p w14:paraId="2A77A21E" w14:textId="77777777" w:rsidR="00EA64B3" w:rsidRPr="00EA64B3" w:rsidRDefault="00EA64B3" w:rsidP="00EA64B3">
            <w:pPr>
              <w:rPr>
                <w:rFonts w:cs="Frankruhel" w:hint="cs"/>
                <w:rtl/>
              </w:rPr>
            </w:pPr>
            <w:r>
              <w:rPr>
                <w:rtl/>
              </w:rPr>
              <w:t>השם</w:t>
            </w:r>
          </w:p>
        </w:tc>
        <w:tc>
          <w:tcPr>
            <w:tcW w:w="567" w:type="dxa"/>
          </w:tcPr>
          <w:p w14:paraId="4A931464" w14:textId="77777777" w:rsidR="00EA64B3" w:rsidRPr="00EA64B3" w:rsidRDefault="00EA64B3" w:rsidP="00EA64B3">
            <w:pPr>
              <w:rPr>
                <w:rStyle w:val="Hyperlink"/>
                <w:rFonts w:hint="cs"/>
                <w:rtl/>
              </w:rPr>
            </w:pPr>
            <w:hyperlink w:anchor="Seif4" w:tooltip="השם" w:history="1">
              <w:r w:rsidRPr="00EA64B3">
                <w:rPr>
                  <w:rStyle w:val="Hyperlink"/>
                </w:rPr>
                <w:t>Go</w:t>
              </w:r>
            </w:hyperlink>
          </w:p>
        </w:tc>
        <w:tc>
          <w:tcPr>
            <w:tcW w:w="850" w:type="dxa"/>
          </w:tcPr>
          <w:p w14:paraId="078222B6" w14:textId="77777777" w:rsidR="00EA64B3" w:rsidRPr="00EA64B3" w:rsidRDefault="00EA64B3" w:rsidP="00EA64B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bl>
    <w:p w14:paraId="40BCFF2C" w14:textId="77777777" w:rsidR="00447C01" w:rsidRDefault="00447C01">
      <w:pPr>
        <w:pStyle w:val="big-header"/>
        <w:ind w:left="0" w:right="1134"/>
        <w:rPr>
          <w:rFonts w:cs="FrankRuehl" w:hint="cs"/>
          <w:sz w:val="32"/>
          <w:rtl/>
        </w:rPr>
      </w:pPr>
    </w:p>
    <w:p w14:paraId="2D960D8F" w14:textId="77777777" w:rsidR="00447C01" w:rsidRDefault="00447C01">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7092E0DE" w14:textId="77777777" w:rsidR="00447C01" w:rsidRDefault="00447C01">
      <w:pPr>
        <w:pStyle w:val="big-header"/>
        <w:ind w:left="0" w:right="1134"/>
        <w:rPr>
          <w:rStyle w:val="default"/>
          <w:rFonts w:hint="cs"/>
          <w:sz w:val="22"/>
          <w:szCs w:val="22"/>
          <w:rtl/>
        </w:rPr>
      </w:pPr>
      <w:r>
        <w:rPr>
          <w:rFonts w:cs="FrankRuehl" w:hint="cs"/>
          <w:sz w:val="32"/>
          <w:rtl/>
        </w:rPr>
        <w:t>צו בדבר סגירת תיקים (יהודה והשומרון) (מס' 841), תש"ם-1980</w:t>
      </w:r>
      <w:r>
        <w:rPr>
          <w:rStyle w:val="default"/>
          <w:sz w:val="22"/>
          <w:szCs w:val="22"/>
          <w:rtl/>
        </w:rPr>
        <w:footnoteReference w:customMarkFollows="1" w:id="1"/>
        <w:t>*</w:t>
      </w:r>
    </w:p>
    <w:p w14:paraId="4DC98E26" w14:textId="77777777" w:rsidR="00447C01" w:rsidRDefault="00447C01">
      <w:pPr>
        <w:pStyle w:val="P00"/>
        <w:spacing w:before="72"/>
        <w:ind w:left="0" w:right="1134"/>
        <w:rPr>
          <w:rStyle w:val="default"/>
          <w:rFonts w:cs="FrankRuehl" w:hint="cs"/>
          <w:rtl/>
        </w:rPr>
      </w:pPr>
      <w:r>
        <w:rPr>
          <w:rStyle w:val="default"/>
          <w:rFonts w:cs="FrankRuehl" w:hint="cs"/>
          <w:rtl/>
        </w:rPr>
        <w:tab/>
        <w:t>בתוקף סמכותי כמפקד האזור, והואיל ואני סבור, כי הדבר דרוש לצורך עשיית משפט ולצורך המינהל התקין באזור, אני מצווה בזה לאמור:-</w:t>
      </w:r>
    </w:p>
    <w:p w14:paraId="485F180D" w14:textId="77777777" w:rsidR="00447C01" w:rsidRDefault="00447C01">
      <w:pPr>
        <w:pStyle w:val="P00"/>
        <w:spacing w:before="72"/>
        <w:ind w:left="0" w:right="1134"/>
        <w:rPr>
          <w:rStyle w:val="default"/>
          <w:rFonts w:cs="FrankRuehl" w:hint="cs"/>
          <w:rtl/>
        </w:rPr>
      </w:pPr>
      <w:bookmarkStart w:id="0" w:name="Seif1"/>
      <w:bookmarkEnd w:id="0"/>
      <w:r>
        <w:rPr>
          <w:rFonts w:cs="Miriam"/>
          <w:lang w:val="he-IL"/>
        </w:rPr>
        <w:pict w14:anchorId="44EEBA96">
          <v:rect id="_x0000_s1026" style="position:absolute;left:0;text-align:left;margin-left:468pt;margin-top:7.1pt;width:71.4pt;height:52.95pt;z-index:251654656" o:allowincell="f" filled="f" stroked="f" strokecolor="lime" strokeweight=".25pt">
            <v:textbox style="mso-next-textbox:#_x0000_s1026" inset="0,0,0,0">
              <w:txbxContent>
                <w:p w14:paraId="2D1579B9" w14:textId="77777777" w:rsidR="00447C01" w:rsidRDefault="00447C01">
                  <w:pPr>
                    <w:pStyle w:val="a7"/>
                    <w:rPr>
                      <w:rFonts w:hint="cs"/>
                      <w:noProof/>
                      <w:rtl/>
                    </w:rPr>
                  </w:pPr>
                  <w:r>
                    <w:rPr>
                      <w:rFonts w:hint="cs"/>
                      <w:noProof/>
                      <w:rtl/>
                    </w:rPr>
                    <w:t>סמכות לסגור תיק או לעכב הליכים</w:t>
                  </w:r>
                </w:p>
                <w:p w14:paraId="2BEB6BCD" w14:textId="77777777" w:rsidR="00447C01" w:rsidRDefault="00447C01">
                  <w:pPr>
                    <w:pStyle w:val="a7"/>
                    <w:rPr>
                      <w:rFonts w:hint="cs"/>
                      <w:noProof/>
                      <w:rtl/>
                    </w:rPr>
                  </w:pPr>
                  <w:r>
                    <w:rPr>
                      <w:rFonts w:hint="cs"/>
                      <w:noProof/>
                      <w:rtl/>
                    </w:rPr>
                    <w:t>תיקון מס' 1 (מס' 1000) תשמ"ב-1982</w:t>
                  </w:r>
                </w:p>
                <w:p w14:paraId="019356CB" w14:textId="77777777" w:rsidR="00447C01" w:rsidRDefault="00447C01">
                  <w:pPr>
                    <w:pStyle w:val="a7"/>
                    <w:rPr>
                      <w:rFonts w:hint="cs"/>
                      <w:noProof/>
                      <w:rtl/>
                    </w:rPr>
                  </w:pPr>
                  <w:r>
                    <w:rPr>
                      <w:rFonts w:hint="cs"/>
                      <w:noProof/>
                      <w:rtl/>
                    </w:rPr>
                    <w:t>תיקון מס' 2 (מס' 1375) תשנ"ב-1992</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מפקד האזור, או הפרקליט הצבאי הראשי או היועץ המשפטי או מי שהיועץ המשפטי הסמיך לכך, בדרך כלל או לעניין מסויים, רשאים להורות על סגירת תיק חקירה בקשר לעבירה על הדין או על תחיקת בטחון או על עיכוב הליכים במשפט שטרם הוכרע בו הדין, אם הם סבורים שלא היה בחקירה או במשפט עניין ציבורי.</w:t>
      </w:r>
    </w:p>
    <w:p w14:paraId="032A992C" w14:textId="77777777" w:rsidR="00447C01" w:rsidRDefault="00447C01">
      <w:pPr>
        <w:pStyle w:val="P00"/>
        <w:spacing w:before="72"/>
        <w:ind w:left="0" w:right="1134"/>
        <w:rPr>
          <w:rStyle w:val="default"/>
          <w:rFonts w:cs="FrankRuehl" w:hint="cs"/>
          <w:rtl/>
        </w:rPr>
      </w:pPr>
      <w:r>
        <w:rPr>
          <w:rFonts w:cs="FrankRuehl"/>
          <w:rtl/>
          <w:lang w:val="he-IL"/>
        </w:rPr>
        <w:pict w14:anchorId="1578D999">
          <v:shapetype id="_x0000_t202" coordsize="21600,21600" o:spt="202" path="m,l,21600r21600,l21600,xe">
            <v:stroke joinstyle="miter"/>
            <v:path gradientshapeok="t" o:connecttype="rect"/>
          </v:shapetype>
          <v:shape id="_x0000_s1358" type="#_x0000_t202" style="position:absolute;left:0;text-align:left;margin-left:470.35pt;margin-top:7.1pt;width:1in;height:21.05pt;z-index:251658752" filled="f" stroked="f">
            <v:textbox inset="1mm,0,1mm,0">
              <w:txbxContent>
                <w:p w14:paraId="4F26E256" w14:textId="77777777" w:rsidR="00447C01" w:rsidRDefault="00447C01">
                  <w:pPr>
                    <w:pStyle w:val="a7"/>
                    <w:rPr>
                      <w:rFonts w:hint="cs"/>
                      <w:noProof/>
                      <w:rtl/>
                    </w:rPr>
                  </w:pPr>
                  <w:r>
                    <w:rPr>
                      <w:rFonts w:hint="cs"/>
                      <w:noProof/>
                      <w:rtl/>
                    </w:rPr>
                    <w:t>תיקון מס' 2 (מס' 1375) תשנ"ב-1992</w:t>
                  </w:r>
                </w:p>
              </w:txbxContent>
            </v:textbox>
          </v:shape>
        </w:pict>
      </w:r>
      <w:r>
        <w:rPr>
          <w:rStyle w:val="default"/>
          <w:rFonts w:cs="FrankRuehl" w:hint="cs"/>
          <w:rtl/>
        </w:rPr>
        <w:tab/>
        <w:t>(ב)</w:t>
      </w:r>
      <w:r>
        <w:rPr>
          <w:rStyle w:val="default"/>
          <w:rFonts w:cs="FrankRuehl" w:hint="cs"/>
          <w:rtl/>
        </w:rPr>
        <w:tab/>
        <w:t>הפרקליט הצבאי הראשי או היועץ המשפטי או מי שהיועץ המשפטי הסמיך לכך, בדרך כלל או לעניין מסויים, כאמור, רשאים להורות על סגירת תיק חקירה בקשר לעבירה על הדין או על תחיקת הבטחון או על עיכוב הליכים במשפט שטרם הוכרע בו הדין אם הם סבורים שלא נמצאו ראיות מספיקות.</w:t>
      </w:r>
    </w:p>
    <w:p w14:paraId="1442D66C" w14:textId="77777777" w:rsidR="00447C01" w:rsidRDefault="00447C0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הוראה כאמור תינתן בכתב.</w:t>
      </w:r>
    </w:p>
    <w:p w14:paraId="6328B1DF" w14:textId="77777777" w:rsidR="00447C01" w:rsidRDefault="00447C0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בכל הנוגע לסגירת תיק חקירה בקשר לעבירה על הדין, בא האמור בסעיף זה להוסיף על האמור בדין ולא לגרוע ממנו.</w:t>
      </w:r>
    </w:p>
    <w:p w14:paraId="2B3C912E" w14:textId="77777777" w:rsidR="00447C01" w:rsidRPr="00CA3D7A" w:rsidRDefault="00447C01">
      <w:pPr>
        <w:pStyle w:val="P00"/>
        <w:spacing w:before="0"/>
        <w:ind w:left="0" w:right="1134"/>
        <w:rPr>
          <w:rStyle w:val="default"/>
          <w:rFonts w:cs="FrankRuehl" w:hint="cs"/>
          <w:vanish/>
          <w:color w:val="FF0000"/>
          <w:sz w:val="20"/>
          <w:szCs w:val="20"/>
          <w:shd w:val="clear" w:color="auto" w:fill="FFFF99"/>
          <w:rtl/>
        </w:rPr>
      </w:pPr>
      <w:bookmarkStart w:id="1" w:name="Rov2"/>
      <w:r w:rsidRPr="00CA3D7A">
        <w:rPr>
          <w:rStyle w:val="default"/>
          <w:rFonts w:cs="FrankRuehl" w:hint="cs"/>
          <w:vanish/>
          <w:color w:val="FF0000"/>
          <w:sz w:val="20"/>
          <w:szCs w:val="20"/>
          <w:shd w:val="clear" w:color="auto" w:fill="FFFF99"/>
          <w:rtl/>
        </w:rPr>
        <w:t>מיום 20.6.1982</w:t>
      </w:r>
    </w:p>
    <w:p w14:paraId="4D9A4B08" w14:textId="77777777" w:rsidR="00447C01" w:rsidRPr="00CA3D7A" w:rsidRDefault="00447C01">
      <w:pPr>
        <w:pStyle w:val="P00"/>
        <w:spacing w:before="0"/>
        <w:ind w:left="0" w:right="1134"/>
        <w:rPr>
          <w:rStyle w:val="default"/>
          <w:rFonts w:cs="FrankRuehl" w:hint="cs"/>
          <w:vanish/>
          <w:sz w:val="20"/>
          <w:szCs w:val="20"/>
          <w:shd w:val="clear" w:color="auto" w:fill="FFFF99"/>
          <w:rtl/>
        </w:rPr>
      </w:pPr>
      <w:r w:rsidRPr="00CA3D7A">
        <w:rPr>
          <w:rStyle w:val="default"/>
          <w:rFonts w:cs="FrankRuehl" w:hint="cs"/>
          <w:b/>
          <w:bCs/>
          <w:vanish/>
          <w:sz w:val="20"/>
          <w:szCs w:val="20"/>
          <w:shd w:val="clear" w:color="auto" w:fill="FFFF99"/>
          <w:rtl/>
        </w:rPr>
        <w:t>תיקון מס' 1 (מס' 1000)</w:t>
      </w:r>
    </w:p>
    <w:p w14:paraId="333D4A06" w14:textId="77777777" w:rsidR="00447C01" w:rsidRPr="00CA3D7A" w:rsidRDefault="00447C01">
      <w:pPr>
        <w:pStyle w:val="P00"/>
        <w:spacing w:before="0"/>
        <w:ind w:left="0" w:right="1134"/>
        <w:rPr>
          <w:rStyle w:val="default"/>
          <w:rFonts w:cs="FrankRuehl" w:hint="cs"/>
          <w:vanish/>
          <w:sz w:val="20"/>
          <w:szCs w:val="20"/>
          <w:shd w:val="clear" w:color="auto" w:fill="FFFF99"/>
          <w:rtl/>
        </w:rPr>
      </w:pPr>
      <w:hyperlink r:id="rId7" w:history="1">
        <w:r w:rsidR="00CA3D7A" w:rsidRPr="00CA3D7A">
          <w:rPr>
            <w:rStyle w:val="Hyperlink"/>
            <w:rFonts w:cs="FrankRuehl" w:hint="cs"/>
            <w:vanish/>
            <w:szCs w:val="20"/>
            <w:shd w:val="clear" w:color="auto" w:fill="FFFF99"/>
            <w:rtl/>
          </w:rPr>
          <w:t>קובץ המנשרים מס' 5</w:t>
        </w:r>
        <w:r w:rsidRPr="00CA3D7A">
          <w:rPr>
            <w:rStyle w:val="Hyperlink"/>
            <w:rFonts w:cs="FrankRuehl" w:hint="cs"/>
            <w:vanish/>
            <w:szCs w:val="20"/>
            <w:shd w:val="clear" w:color="auto" w:fill="FFFF99"/>
            <w:rtl/>
          </w:rPr>
          <w:t>6</w:t>
        </w:r>
      </w:hyperlink>
      <w:r w:rsidRPr="00CA3D7A">
        <w:rPr>
          <w:rStyle w:val="default"/>
          <w:rFonts w:cs="FrankRuehl" w:hint="cs"/>
          <w:vanish/>
          <w:sz w:val="20"/>
          <w:szCs w:val="20"/>
          <w:shd w:val="clear" w:color="auto" w:fill="FFFF99"/>
          <w:rtl/>
        </w:rPr>
        <w:t xml:space="preserve"> מיום 5.5.1983 עמ' 40</w:t>
      </w:r>
    </w:p>
    <w:p w14:paraId="514D9308" w14:textId="77777777" w:rsidR="00447C01" w:rsidRPr="00CA3D7A" w:rsidRDefault="00447C01">
      <w:pPr>
        <w:pStyle w:val="P00"/>
        <w:ind w:left="0" w:right="1134"/>
        <w:rPr>
          <w:rStyle w:val="default"/>
          <w:rFonts w:cs="FrankRuehl" w:hint="cs"/>
          <w:vanish/>
          <w:sz w:val="22"/>
          <w:szCs w:val="22"/>
          <w:shd w:val="clear" w:color="auto" w:fill="FFFF99"/>
          <w:rtl/>
        </w:rPr>
      </w:pPr>
      <w:r w:rsidRPr="00CA3D7A">
        <w:rPr>
          <w:rStyle w:val="big-number"/>
          <w:rFonts w:cs="FrankRuehl"/>
          <w:vanish/>
          <w:sz w:val="22"/>
          <w:szCs w:val="22"/>
          <w:shd w:val="clear" w:color="auto" w:fill="FFFF99"/>
          <w:rtl/>
        </w:rPr>
        <w:tab/>
      </w:r>
      <w:r w:rsidRPr="00CA3D7A">
        <w:rPr>
          <w:rStyle w:val="default"/>
          <w:rFonts w:cs="FrankRuehl" w:hint="cs"/>
          <w:vanish/>
          <w:sz w:val="22"/>
          <w:szCs w:val="22"/>
          <w:shd w:val="clear" w:color="auto" w:fill="FFFF99"/>
          <w:rtl/>
        </w:rPr>
        <w:t>(א)</w:t>
      </w:r>
      <w:r w:rsidRPr="00CA3D7A">
        <w:rPr>
          <w:rStyle w:val="default"/>
          <w:rFonts w:cs="FrankRuehl" w:hint="cs"/>
          <w:vanish/>
          <w:sz w:val="22"/>
          <w:szCs w:val="22"/>
          <w:shd w:val="clear" w:color="auto" w:fill="FFFF99"/>
          <w:rtl/>
        </w:rPr>
        <w:tab/>
        <w:t xml:space="preserve">מפקד האזור, או הפרקליט הצבאי הראשי או היועץ המשפטי, </w:t>
      </w:r>
      <w:r w:rsidRPr="00CA3D7A">
        <w:rPr>
          <w:rStyle w:val="default"/>
          <w:rFonts w:cs="FrankRuehl" w:hint="cs"/>
          <w:strike/>
          <w:vanish/>
          <w:sz w:val="22"/>
          <w:szCs w:val="22"/>
          <w:shd w:val="clear" w:color="auto" w:fill="FFFF99"/>
          <w:rtl/>
        </w:rPr>
        <w:t>כמשמעותם בצו בדבר הוראות בטחון,</w:t>
      </w:r>
      <w:r w:rsidRPr="00CA3D7A">
        <w:rPr>
          <w:rStyle w:val="default"/>
          <w:rFonts w:cs="FrankRuehl" w:hint="cs"/>
          <w:vanish/>
          <w:sz w:val="22"/>
          <w:szCs w:val="22"/>
          <w:shd w:val="clear" w:color="auto" w:fill="FFFF99"/>
          <w:rtl/>
        </w:rPr>
        <w:t xml:space="preserve"> רשאים להורות על סגירת תיק חקירה בקשר לעבירה על הדין או על תחיקת בטחון או על עיכוב הליכים במשפט שטרם הוכרע בו הדין, אם הם סבורים שלא היה בחקירה או במשפט עניין ציבורי.</w:t>
      </w:r>
    </w:p>
    <w:p w14:paraId="280E855B" w14:textId="77777777" w:rsidR="00447C01" w:rsidRPr="00CA3D7A" w:rsidRDefault="00447C01">
      <w:pPr>
        <w:pStyle w:val="P00"/>
        <w:spacing w:before="0"/>
        <w:ind w:left="0" w:right="1134"/>
        <w:rPr>
          <w:rStyle w:val="default"/>
          <w:rFonts w:cs="FrankRuehl" w:hint="cs"/>
          <w:vanish/>
          <w:sz w:val="20"/>
          <w:szCs w:val="20"/>
          <w:shd w:val="clear" w:color="auto" w:fill="FFFF99"/>
          <w:rtl/>
        </w:rPr>
      </w:pPr>
    </w:p>
    <w:p w14:paraId="501EB9AB" w14:textId="77777777" w:rsidR="00447C01" w:rsidRPr="00CA3D7A" w:rsidRDefault="00447C01">
      <w:pPr>
        <w:pStyle w:val="P00"/>
        <w:spacing w:before="0"/>
        <w:ind w:left="0" w:right="1134"/>
        <w:rPr>
          <w:rStyle w:val="default"/>
          <w:rFonts w:cs="FrankRuehl" w:hint="cs"/>
          <w:vanish/>
          <w:color w:val="FF0000"/>
          <w:sz w:val="20"/>
          <w:szCs w:val="20"/>
          <w:shd w:val="clear" w:color="auto" w:fill="FFFF99"/>
          <w:rtl/>
        </w:rPr>
      </w:pPr>
      <w:r w:rsidRPr="00CA3D7A">
        <w:rPr>
          <w:rStyle w:val="default"/>
          <w:rFonts w:cs="FrankRuehl" w:hint="cs"/>
          <w:vanish/>
          <w:color w:val="FF0000"/>
          <w:sz w:val="20"/>
          <w:szCs w:val="20"/>
          <w:shd w:val="clear" w:color="auto" w:fill="FFFF99"/>
          <w:rtl/>
        </w:rPr>
        <w:t>מיום 8.7.1992</w:t>
      </w:r>
    </w:p>
    <w:p w14:paraId="45C5A525" w14:textId="77777777" w:rsidR="00447C01" w:rsidRPr="00CA3D7A" w:rsidRDefault="00447C01">
      <w:pPr>
        <w:pStyle w:val="P00"/>
        <w:spacing w:before="0"/>
        <w:ind w:left="0" w:right="1134"/>
        <w:rPr>
          <w:rStyle w:val="default"/>
          <w:rFonts w:cs="FrankRuehl" w:hint="cs"/>
          <w:vanish/>
          <w:sz w:val="20"/>
          <w:szCs w:val="20"/>
          <w:shd w:val="clear" w:color="auto" w:fill="FFFF99"/>
          <w:rtl/>
        </w:rPr>
      </w:pPr>
      <w:r w:rsidRPr="00CA3D7A">
        <w:rPr>
          <w:rStyle w:val="default"/>
          <w:rFonts w:cs="FrankRuehl" w:hint="cs"/>
          <w:b/>
          <w:bCs/>
          <w:vanish/>
          <w:sz w:val="20"/>
          <w:szCs w:val="20"/>
          <w:shd w:val="clear" w:color="auto" w:fill="FFFF99"/>
          <w:rtl/>
        </w:rPr>
        <w:t>תיקון מס' 2 (מס' 1375)</w:t>
      </w:r>
    </w:p>
    <w:p w14:paraId="4A5D55FB" w14:textId="77777777" w:rsidR="00447C01" w:rsidRPr="00CA3D7A" w:rsidRDefault="00447C01">
      <w:pPr>
        <w:pStyle w:val="P00"/>
        <w:spacing w:before="0"/>
        <w:ind w:left="0" w:right="1134"/>
        <w:rPr>
          <w:rStyle w:val="default"/>
          <w:rFonts w:cs="FrankRuehl" w:hint="cs"/>
          <w:vanish/>
          <w:sz w:val="20"/>
          <w:szCs w:val="20"/>
          <w:shd w:val="clear" w:color="auto" w:fill="FFFF99"/>
          <w:rtl/>
        </w:rPr>
      </w:pPr>
      <w:hyperlink r:id="rId8" w:history="1">
        <w:r w:rsidRPr="00CA3D7A">
          <w:rPr>
            <w:rStyle w:val="Hyperlink"/>
            <w:rFonts w:cs="FrankRuehl" w:hint="cs"/>
            <w:vanish/>
            <w:szCs w:val="20"/>
            <w:shd w:val="clear" w:color="auto" w:fill="FFFF99"/>
            <w:rtl/>
          </w:rPr>
          <w:t>קובץ המנשרים מס' 138</w:t>
        </w:r>
      </w:hyperlink>
      <w:r w:rsidRPr="00CA3D7A">
        <w:rPr>
          <w:rStyle w:val="default"/>
          <w:rFonts w:cs="FrankRuehl" w:hint="cs"/>
          <w:vanish/>
          <w:sz w:val="20"/>
          <w:szCs w:val="20"/>
          <w:shd w:val="clear" w:color="auto" w:fill="FFFF99"/>
          <w:rtl/>
        </w:rPr>
        <w:t xml:space="preserve"> מחודש מאי 1992 עמ' 837</w:t>
      </w:r>
    </w:p>
    <w:p w14:paraId="79B85A58" w14:textId="77777777" w:rsidR="00447C01" w:rsidRPr="00CA3D7A" w:rsidRDefault="00447C01">
      <w:pPr>
        <w:pStyle w:val="P00"/>
        <w:ind w:left="0" w:right="1134"/>
        <w:rPr>
          <w:rStyle w:val="default"/>
          <w:rFonts w:cs="FrankRuehl" w:hint="cs"/>
          <w:vanish/>
          <w:sz w:val="22"/>
          <w:szCs w:val="22"/>
          <w:shd w:val="clear" w:color="auto" w:fill="FFFF99"/>
          <w:rtl/>
        </w:rPr>
      </w:pPr>
      <w:r w:rsidRPr="00CA3D7A">
        <w:rPr>
          <w:rStyle w:val="big-number"/>
          <w:rFonts w:cs="FrankRuehl"/>
          <w:vanish/>
          <w:sz w:val="22"/>
          <w:szCs w:val="22"/>
          <w:shd w:val="clear" w:color="auto" w:fill="FFFF99"/>
          <w:rtl/>
        </w:rPr>
        <w:tab/>
      </w:r>
      <w:r w:rsidRPr="00CA3D7A">
        <w:rPr>
          <w:rStyle w:val="default"/>
          <w:rFonts w:cs="FrankRuehl" w:hint="cs"/>
          <w:vanish/>
          <w:sz w:val="22"/>
          <w:szCs w:val="22"/>
          <w:shd w:val="clear" w:color="auto" w:fill="FFFF99"/>
          <w:rtl/>
        </w:rPr>
        <w:t>(א)</w:t>
      </w:r>
      <w:r w:rsidRPr="00CA3D7A">
        <w:rPr>
          <w:rStyle w:val="default"/>
          <w:rFonts w:cs="FrankRuehl" w:hint="cs"/>
          <w:vanish/>
          <w:sz w:val="22"/>
          <w:szCs w:val="22"/>
          <w:shd w:val="clear" w:color="auto" w:fill="FFFF99"/>
          <w:rtl/>
        </w:rPr>
        <w:tab/>
        <w:t xml:space="preserve">מפקד האזור, או הפרקליט הצבאי הראשי או היועץ המשפטי </w:t>
      </w:r>
      <w:r w:rsidRPr="00CA3D7A">
        <w:rPr>
          <w:rStyle w:val="default"/>
          <w:rFonts w:cs="FrankRuehl" w:hint="cs"/>
          <w:vanish/>
          <w:sz w:val="22"/>
          <w:szCs w:val="22"/>
          <w:u w:val="single"/>
          <w:shd w:val="clear" w:color="auto" w:fill="FFFF99"/>
          <w:rtl/>
        </w:rPr>
        <w:t>או מי שהיועץ המשפטי הסמיך לכך, בדרך כלל או לעניין מסויים</w:t>
      </w:r>
      <w:r w:rsidRPr="00CA3D7A">
        <w:rPr>
          <w:rStyle w:val="default"/>
          <w:rFonts w:cs="FrankRuehl" w:hint="cs"/>
          <w:vanish/>
          <w:sz w:val="22"/>
          <w:szCs w:val="22"/>
          <w:shd w:val="clear" w:color="auto" w:fill="FFFF99"/>
          <w:rtl/>
        </w:rPr>
        <w:t>, רשאים להורות על סגירת תיק חקירה בקשר לעבירה על הדין או על תחיקת בטחון או על עיכוב הליכים במשפט שטרם הוכרע בו הדין, אם הם סבורים שלא היה בחקירה או במשפט עניין ציבורי.</w:t>
      </w:r>
    </w:p>
    <w:p w14:paraId="306ECBD8" w14:textId="77777777" w:rsidR="00447C01" w:rsidRPr="00CA3D7A" w:rsidRDefault="00447C01">
      <w:pPr>
        <w:pStyle w:val="P00"/>
        <w:spacing w:before="0"/>
        <w:ind w:left="0" w:right="1134"/>
        <w:rPr>
          <w:rStyle w:val="default"/>
          <w:rFonts w:cs="FrankRuehl" w:hint="cs"/>
          <w:vanish/>
          <w:sz w:val="22"/>
          <w:szCs w:val="22"/>
          <w:shd w:val="clear" w:color="auto" w:fill="FFFF99"/>
          <w:rtl/>
        </w:rPr>
      </w:pPr>
      <w:r w:rsidRPr="00CA3D7A">
        <w:rPr>
          <w:rStyle w:val="default"/>
          <w:rFonts w:cs="FrankRuehl" w:hint="cs"/>
          <w:vanish/>
          <w:sz w:val="22"/>
          <w:szCs w:val="22"/>
          <w:shd w:val="clear" w:color="auto" w:fill="FFFF99"/>
          <w:rtl/>
        </w:rPr>
        <w:tab/>
        <w:t>(ב)</w:t>
      </w:r>
      <w:r w:rsidRPr="00CA3D7A">
        <w:rPr>
          <w:rStyle w:val="default"/>
          <w:rFonts w:cs="FrankRuehl" w:hint="cs"/>
          <w:vanish/>
          <w:sz w:val="22"/>
          <w:szCs w:val="22"/>
          <w:shd w:val="clear" w:color="auto" w:fill="FFFF99"/>
          <w:rtl/>
        </w:rPr>
        <w:tab/>
        <w:t xml:space="preserve">הפרקליט הצבאי הראשי או היועץ המשפטי </w:t>
      </w:r>
      <w:r w:rsidRPr="00CA3D7A">
        <w:rPr>
          <w:rStyle w:val="default"/>
          <w:rFonts w:cs="FrankRuehl" w:hint="cs"/>
          <w:vanish/>
          <w:sz w:val="22"/>
          <w:szCs w:val="22"/>
          <w:u w:val="single"/>
          <w:shd w:val="clear" w:color="auto" w:fill="FFFF99"/>
          <w:rtl/>
        </w:rPr>
        <w:t>או מי שהיועץ המשפטי הסמיך לכך, בדרך כלל או לעניין מסויים,</w:t>
      </w:r>
      <w:r w:rsidRPr="00CA3D7A">
        <w:rPr>
          <w:rStyle w:val="default"/>
          <w:rFonts w:cs="FrankRuehl" w:hint="cs"/>
          <w:vanish/>
          <w:sz w:val="22"/>
          <w:szCs w:val="22"/>
          <w:shd w:val="clear" w:color="auto" w:fill="FFFF99"/>
          <w:rtl/>
        </w:rPr>
        <w:t xml:space="preserve"> כאמור, רשאים להורות על סגירת תיק חקירה בקשר לעבירה על הדין או על תחיקת הבטחון או על עיכוב הליכים במשפט שטרם הוכרע בו הדין אם הם סבורים שלא נמצאו ראיות מספיקות.</w:t>
      </w:r>
    </w:p>
    <w:p w14:paraId="258EEA46" w14:textId="77777777" w:rsidR="00447C01" w:rsidRPr="00CA3D7A" w:rsidRDefault="00447C01">
      <w:pPr>
        <w:pStyle w:val="P00"/>
        <w:spacing w:before="0"/>
        <w:ind w:left="0" w:right="1134"/>
        <w:rPr>
          <w:rStyle w:val="default"/>
          <w:rFonts w:cs="FrankRuehl" w:hint="cs"/>
          <w:vanish/>
          <w:sz w:val="20"/>
          <w:szCs w:val="20"/>
          <w:shd w:val="clear" w:color="auto" w:fill="FFFF99"/>
          <w:rtl/>
        </w:rPr>
      </w:pPr>
    </w:p>
    <w:p w14:paraId="76BE39DF" w14:textId="77777777" w:rsidR="00447C01" w:rsidRPr="00CA3D7A" w:rsidRDefault="00447C01">
      <w:pPr>
        <w:pStyle w:val="P00"/>
        <w:spacing w:before="0"/>
        <w:ind w:left="0" w:right="1134"/>
        <w:rPr>
          <w:rStyle w:val="default"/>
          <w:rFonts w:cs="FrankRuehl" w:hint="cs"/>
          <w:vanish/>
          <w:color w:val="FF0000"/>
          <w:sz w:val="20"/>
          <w:szCs w:val="20"/>
          <w:shd w:val="clear" w:color="auto" w:fill="FFFF99"/>
          <w:rtl/>
        </w:rPr>
      </w:pPr>
      <w:r w:rsidRPr="00CA3D7A">
        <w:rPr>
          <w:rStyle w:val="default"/>
          <w:rFonts w:cs="FrankRuehl" w:hint="cs"/>
          <w:vanish/>
          <w:color w:val="FF0000"/>
          <w:sz w:val="20"/>
          <w:szCs w:val="20"/>
          <w:shd w:val="clear" w:color="auto" w:fill="FFFF99"/>
          <w:rtl/>
        </w:rPr>
        <w:t>מיום 12.1.2006</w:t>
      </w:r>
    </w:p>
    <w:p w14:paraId="7ABF13EC" w14:textId="77777777" w:rsidR="00447C01" w:rsidRPr="00CA3D7A" w:rsidRDefault="00447C01">
      <w:pPr>
        <w:pStyle w:val="P00"/>
        <w:spacing w:before="0"/>
        <w:ind w:left="0" w:right="1134"/>
        <w:rPr>
          <w:rStyle w:val="default"/>
          <w:rFonts w:cs="FrankRuehl" w:hint="cs"/>
          <w:vanish/>
          <w:sz w:val="20"/>
          <w:szCs w:val="20"/>
          <w:shd w:val="clear" w:color="auto" w:fill="FFFF99"/>
          <w:rtl/>
        </w:rPr>
      </w:pPr>
      <w:r w:rsidRPr="00CA3D7A">
        <w:rPr>
          <w:rStyle w:val="default"/>
          <w:rFonts w:cs="FrankRuehl" w:hint="cs"/>
          <w:b/>
          <w:bCs/>
          <w:vanish/>
          <w:sz w:val="20"/>
          <w:szCs w:val="20"/>
          <w:shd w:val="clear" w:color="auto" w:fill="FFFF99"/>
          <w:rtl/>
        </w:rPr>
        <w:t>תיקון מס' 4 (מס' 1577)</w:t>
      </w:r>
    </w:p>
    <w:p w14:paraId="0F6C44F1" w14:textId="77777777" w:rsidR="00447C01" w:rsidRPr="00CA3D7A" w:rsidRDefault="00447C01">
      <w:pPr>
        <w:pStyle w:val="P00"/>
        <w:spacing w:before="0"/>
        <w:ind w:left="0" w:right="1134"/>
        <w:rPr>
          <w:rStyle w:val="default"/>
          <w:rFonts w:cs="FrankRuehl" w:hint="cs"/>
          <w:vanish/>
          <w:sz w:val="20"/>
          <w:szCs w:val="20"/>
          <w:shd w:val="clear" w:color="auto" w:fill="FFFF99"/>
          <w:rtl/>
        </w:rPr>
      </w:pPr>
      <w:hyperlink r:id="rId9" w:history="1">
        <w:r w:rsidRPr="00CA3D7A">
          <w:rPr>
            <w:rStyle w:val="Hyperlink"/>
            <w:rFonts w:cs="FrankRuehl" w:hint="cs"/>
            <w:vanish/>
            <w:szCs w:val="20"/>
            <w:shd w:val="clear" w:color="auto" w:fill="FFFF99"/>
            <w:rtl/>
          </w:rPr>
          <w:t>קובץ המנשרים מס' 210</w:t>
        </w:r>
      </w:hyperlink>
      <w:r w:rsidRPr="00CA3D7A">
        <w:rPr>
          <w:rStyle w:val="default"/>
          <w:rFonts w:cs="FrankRuehl" w:hint="cs"/>
          <w:vanish/>
          <w:sz w:val="20"/>
          <w:szCs w:val="20"/>
          <w:shd w:val="clear" w:color="auto" w:fill="FFFF99"/>
          <w:rtl/>
        </w:rPr>
        <w:t xml:space="preserve"> מחודש ינואר 2006 עמ' 4063</w:t>
      </w:r>
    </w:p>
    <w:p w14:paraId="479D7CEF" w14:textId="77777777" w:rsidR="00447C01" w:rsidRPr="00CA3D7A" w:rsidRDefault="00447C01" w:rsidP="00CA3D7A">
      <w:pPr>
        <w:pStyle w:val="P00"/>
        <w:ind w:left="0" w:right="1134"/>
        <w:rPr>
          <w:rStyle w:val="default"/>
          <w:rFonts w:cs="FrankRuehl" w:hint="cs"/>
          <w:sz w:val="2"/>
          <w:szCs w:val="2"/>
          <w:rtl/>
        </w:rPr>
      </w:pPr>
      <w:r w:rsidRPr="00CA3D7A">
        <w:rPr>
          <w:rStyle w:val="default"/>
          <w:rFonts w:cs="FrankRuehl" w:hint="cs"/>
          <w:vanish/>
          <w:sz w:val="22"/>
          <w:szCs w:val="22"/>
          <w:shd w:val="clear" w:color="auto" w:fill="FFFF99"/>
          <w:rtl/>
        </w:rPr>
        <w:tab/>
        <w:t>(ב)</w:t>
      </w:r>
      <w:r w:rsidRPr="00CA3D7A">
        <w:rPr>
          <w:rStyle w:val="default"/>
          <w:rFonts w:cs="FrankRuehl" w:hint="cs"/>
          <w:vanish/>
          <w:sz w:val="22"/>
          <w:szCs w:val="22"/>
          <w:shd w:val="clear" w:color="auto" w:fill="FFFF99"/>
          <w:rtl/>
        </w:rPr>
        <w:tab/>
        <w:t xml:space="preserve">הפרקליט הצבאי הראשי או היועץ המשפטי </w:t>
      </w:r>
      <w:r w:rsidRPr="00CA3D7A">
        <w:rPr>
          <w:rStyle w:val="default"/>
          <w:rFonts w:cs="FrankRuehl" w:hint="cs"/>
          <w:strike/>
          <w:vanish/>
          <w:sz w:val="22"/>
          <w:szCs w:val="22"/>
          <w:shd w:val="clear" w:color="auto" w:fill="FFFF99"/>
          <w:rtl/>
        </w:rPr>
        <w:t>כאמור</w:t>
      </w:r>
      <w:r w:rsidRPr="00CA3D7A">
        <w:rPr>
          <w:rStyle w:val="default"/>
          <w:rFonts w:cs="FrankRuehl" w:hint="cs"/>
          <w:vanish/>
          <w:sz w:val="22"/>
          <w:szCs w:val="22"/>
          <w:shd w:val="clear" w:color="auto" w:fill="FFFF99"/>
          <w:rtl/>
        </w:rPr>
        <w:t xml:space="preserve"> </w:t>
      </w:r>
      <w:r w:rsidRPr="00CA3D7A">
        <w:rPr>
          <w:rStyle w:val="default"/>
          <w:rFonts w:cs="FrankRuehl" w:hint="cs"/>
          <w:vanish/>
          <w:sz w:val="22"/>
          <w:szCs w:val="22"/>
          <w:u w:val="single"/>
          <w:shd w:val="clear" w:color="auto" w:fill="FFFF99"/>
          <w:rtl/>
        </w:rPr>
        <w:t>או מי שהיועץ המשפטי הסמיך לכך, בדרך כלל או לעניין מסויים</w:t>
      </w:r>
      <w:r w:rsidRPr="00CA3D7A">
        <w:rPr>
          <w:rStyle w:val="default"/>
          <w:rFonts w:cs="FrankRuehl" w:hint="cs"/>
          <w:vanish/>
          <w:sz w:val="22"/>
          <w:szCs w:val="22"/>
          <w:shd w:val="clear" w:color="auto" w:fill="FFFF99"/>
          <w:rtl/>
        </w:rPr>
        <w:t>, רשאים להורות על סגירת תיק חקירה בקשר לעבירה על הדין או על תחיקת הבטחון או על עיכוב הליכים במשפט שטרם הוכרע בו הדין אם הם סבורים שלא נמצאו ראיות מספיקות.</w:t>
      </w:r>
      <w:bookmarkEnd w:id="1"/>
    </w:p>
    <w:p w14:paraId="7FCEBD2E" w14:textId="77777777" w:rsidR="00447C01" w:rsidRDefault="00447C01" w:rsidP="00103807">
      <w:pPr>
        <w:pStyle w:val="P00"/>
        <w:spacing w:before="72"/>
        <w:ind w:left="0" w:right="1134"/>
        <w:rPr>
          <w:rStyle w:val="default"/>
          <w:rFonts w:cs="FrankRuehl" w:hint="cs"/>
          <w:rtl/>
        </w:rPr>
      </w:pPr>
      <w:r>
        <w:rPr>
          <w:rFonts w:cs="Miriam"/>
          <w:lang w:val="he-IL"/>
        </w:rPr>
        <w:pict w14:anchorId="58407289">
          <v:rect id="_x0000_s1359" style="position:absolute;left:0;text-align:left;margin-left:468pt;margin-top:7.1pt;width:71.4pt;height:36.25pt;z-index:251659776" o:allowincell="f" filled="f" stroked="f" strokecolor="lime" strokeweight=".25pt">
            <v:textbox style="mso-next-textbox:#_x0000_s1359" inset="0,0,0,0">
              <w:txbxContent>
                <w:p w14:paraId="74C953CC" w14:textId="77777777" w:rsidR="00447C01" w:rsidRDefault="00447C01">
                  <w:pPr>
                    <w:pStyle w:val="a7"/>
                    <w:rPr>
                      <w:rFonts w:hint="cs"/>
                      <w:noProof/>
                      <w:rtl/>
                    </w:rPr>
                  </w:pPr>
                  <w:r>
                    <w:rPr>
                      <w:rFonts w:hint="cs"/>
                      <w:noProof/>
                      <w:rtl/>
                    </w:rPr>
                    <w:t>תיקון מס' 2 (מס' 1375) תשנ"ב-1992</w:t>
                  </w:r>
                </w:p>
                <w:p w14:paraId="6AA09DF6" w14:textId="77777777" w:rsidR="00C11855" w:rsidRDefault="00C11855">
                  <w:pPr>
                    <w:pStyle w:val="a7"/>
                    <w:rPr>
                      <w:rFonts w:hint="cs"/>
                      <w:noProof/>
                      <w:rtl/>
                    </w:rPr>
                  </w:pPr>
                  <w:r>
                    <w:rPr>
                      <w:rFonts w:hint="cs"/>
                      <w:noProof/>
                      <w:rtl/>
                    </w:rPr>
                    <w:t>תיקון מס' 3 (מס' 1395) תשנ"ג-1993</w:t>
                  </w:r>
                </w:p>
              </w:txbxContent>
            </v:textbox>
            <w10:anchorlock/>
          </v:rect>
        </w:pict>
      </w:r>
      <w:r>
        <w:rPr>
          <w:rStyle w:val="big-number"/>
          <w:rFonts w:cs="Miriam"/>
          <w:rtl/>
        </w:rPr>
        <w:t>1</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מפקד משטרה כהגדרתו בצו בדבר מינויי שוטרים והעסקתם (יהודה והשומרון) (מס' 95), התשכ"ז-1967 או קצין חקירות, שהוסמך על ידי מפקד כוחות המשטרה לעניין זה בהס</w:t>
      </w:r>
      <w:r w:rsidR="00103807">
        <w:rPr>
          <w:rStyle w:val="default"/>
          <w:rFonts w:cs="FrankRuehl" w:hint="cs"/>
          <w:rtl/>
        </w:rPr>
        <w:t>כ</w:t>
      </w:r>
      <w:r>
        <w:rPr>
          <w:rStyle w:val="default"/>
          <w:rFonts w:cs="FrankRuehl" w:hint="cs"/>
          <w:rtl/>
        </w:rPr>
        <w:t>מת היועץ המשפטי , רשאים להורות על סגירת תיק חקירה, אם היו סבורים שלא היה בחקירה עניין לציבור או שלא נמצאו ראיות מספיקות, ותיק החקירה נוגע לעניינים הבאים:</w:t>
      </w:r>
    </w:p>
    <w:p w14:paraId="393C7E2E" w14:textId="77777777" w:rsidR="00447C01" w:rsidRDefault="00447C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עבירה על הדין מסוג עוון או חטא; או</w:t>
      </w:r>
    </w:p>
    <w:p w14:paraId="60C176E9" w14:textId="77777777" w:rsidR="00447C01" w:rsidRDefault="00447C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עבירה על תחיקת הבטחון שהעונש הקבוע לגביה אינו עולה על חמש שנות מאסר; או</w:t>
      </w:r>
    </w:p>
    <w:p w14:paraId="78FBBE6E" w14:textId="77777777" w:rsidR="00447C01" w:rsidRDefault="00C11855">
      <w:pPr>
        <w:pStyle w:val="P00"/>
        <w:spacing w:before="72"/>
        <w:ind w:left="1021" w:right="1134"/>
        <w:rPr>
          <w:rStyle w:val="default"/>
          <w:rFonts w:cs="FrankRuehl" w:hint="cs"/>
          <w:rtl/>
        </w:rPr>
      </w:pPr>
      <w:r>
        <w:rPr>
          <w:rFonts w:cs="FrankRuehl" w:hint="cs"/>
          <w:sz w:val="26"/>
          <w:rtl/>
          <w:lang w:eastAsia="en-US"/>
        </w:rPr>
        <w:pict w14:anchorId="3B76D533">
          <v:shape id="_x0000_s1361" type="#_x0000_t202" style="position:absolute;left:0;text-align:left;margin-left:470.35pt;margin-top:7.1pt;width:1in;height:18pt;z-index:251660800" filled="f" stroked="f">
            <v:textbox inset="1mm,0,1mm,0">
              <w:txbxContent>
                <w:p w14:paraId="70289529" w14:textId="77777777" w:rsidR="00C11855" w:rsidRDefault="00C11855" w:rsidP="00C11855">
                  <w:pPr>
                    <w:pStyle w:val="a7"/>
                    <w:rPr>
                      <w:rFonts w:hint="cs"/>
                      <w:noProof/>
                      <w:rtl/>
                    </w:rPr>
                  </w:pPr>
                  <w:r>
                    <w:rPr>
                      <w:rFonts w:hint="cs"/>
                      <w:noProof/>
                      <w:rtl/>
                    </w:rPr>
                    <w:t>תיקון מס' 3 (מס' 1395) תשנ"ג-1993</w:t>
                  </w:r>
                </w:p>
              </w:txbxContent>
            </v:textbox>
            <w10:anchorlock/>
          </v:shape>
        </w:pict>
      </w:r>
      <w:r w:rsidR="00447C01">
        <w:rPr>
          <w:rStyle w:val="default"/>
          <w:rFonts w:cs="FrankRuehl" w:hint="cs"/>
          <w:rtl/>
        </w:rPr>
        <w:t>(3)</w:t>
      </w:r>
      <w:r w:rsidR="00447C01">
        <w:rPr>
          <w:rStyle w:val="default"/>
          <w:rFonts w:cs="FrankRuehl" w:hint="cs"/>
          <w:rtl/>
        </w:rPr>
        <w:tab/>
        <w:t>עבירה</w:t>
      </w:r>
      <w:r>
        <w:rPr>
          <w:rStyle w:val="default"/>
          <w:rFonts w:cs="FrankRuehl" w:hint="cs"/>
          <w:rtl/>
        </w:rPr>
        <w:t xml:space="preserve"> על הדין מסוג פשע ועבירה</w:t>
      </w:r>
      <w:r w:rsidR="00447C01">
        <w:rPr>
          <w:rStyle w:val="default"/>
          <w:rFonts w:cs="FrankRuehl" w:hint="cs"/>
          <w:rtl/>
        </w:rPr>
        <w:t xml:space="preserve"> על תחיקת הבטחון שהעונש הקבוע לגביה עולה על חמש שנות מאסר שנקבעה בהודעה על ידי היועץ המשפטי לענין זה.</w:t>
      </w:r>
    </w:p>
    <w:p w14:paraId="6CC5707A" w14:textId="77777777" w:rsidR="00447C01" w:rsidRDefault="00447C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סגירת תיקי חקירה כאמור בסעיף קטן (א) תיעשה על פי הנחיות כלליות של היועץ המשפטי.</w:t>
      </w:r>
    </w:p>
    <w:p w14:paraId="6D78F586" w14:textId="77777777" w:rsidR="00447C01" w:rsidRDefault="00447C01">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הוראה על סגירת תיק כאמור בסעיף קטן (א) תינתן בכתב ותובא לידיעת היועץ המשפטי;</w:t>
      </w:r>
    </w:p>
    <w:p w14:paraId="54700399" w14:textId="77777777" w:rsidR="00447C01" w:rsidRDefault="00447C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היועץ המשפטי רשאי להורות על שינוי או ביטול של הוראה בדבר סגירת תיק שניתנה כאמור בסעיף קטן (א).</w:t>
      </w:r>
    </w:p>
    <w:p w14:paraId="6846F067" w14:textId="77777777" w:rsidR="00447C01" w:rsidRPr="00CA3D7A" w:rsidRDefault="00447C01">
      <w:pPr>
        <w:pStyle w:val="P00"/>
        <w:spacing w:before="0"/>
        <w:ind w:left="0" w:right="1134"/>
        <w:rPr>
          <w:rStyle w:val="default"/>
          <w:rFonts w:cs="FrankRuehl" w:hint="cs"/>
          <w:vanish/>
          <w:color w:val="FF0000"/>
          <w:sz w:val="20"/>
          <w:szCs w:val="20"/>
          <w:shd w:val="clear" w:color="auto" w:fill="FFFF99"/>
          <w:rtl/>
        </w:rPr>
      </w:pPr>
      <w:bookmarkStart w:id="2" w:name="Rov3"/>
      <w:r w:rsidRPr="00CA3D7A">
        <w:rPr>
          <w:rStyle w:val="default"/>
          <w:rFonts w:cs="FrankRuehl" w:hint="cs"/>
          <w:vanish/>
          <w:color w:val="FF0000"/>
          <w:sz w:val="20"/>
          <w:szCs w:val="20"/>
          <w:shd w:val="clear" w:color="auto" w:fill="FFFF99"/>
          <w:rtl/>
        </w:rPr>
        <w:t>מיום 8.7.1992</w:t>
      </w:r>
    </w:p>
    <w:p w14:paraId="048187DF" w14:textId="77777777" w:rsidR="00447C01" w:rsidRPr="00CA3D7A" w:rsidRDefault="00447C01">
      <w:pPr>
        <w:pStyle w:val="P00"/>
        <w:spacing w:before="0"/>
        <w:ind w:left="0" w:right="1134"/>
        <w:rPr>
          <w:rStyle w:val="default"/>
          <w:rFonts w:cs="FrankRuehl" w:hint="cs"/>
          <w:vanish/>
          <w:sz w:val="20"/>
          <w:szCs w:val="20"/>
          <w:shd w:val="clear" w:color="auto" w:fill="FFFF99"/>
          <w:rtl/>
        </w:rPr>
      </w:pPr>
      <w:r w:rsidRPr="00CA3D7A">
        <w:rPr>
          <w:rStyle w:val="default"/>
          <w:rFonts w:cs="FrankRuehl" w:hint="cs"/>
          <w:b/>
          <w:bCs/>
          <w:vanish/>
          <w:sz w:val="20"/>
          <w:szCs w:val="20"/>
          <w:shd w:val="clear" w:color="auto" w:fill="FFFF99"/>
          <w:rtl/>
        </w:rPr>
        <w:t>תיקון מס' 2 (מס' 1375)</w:t>
      </w:r>
    </w:p>
    <w:p w14:paraId="7846316D" w14:textId="77777777" w:rsidR="00447C01" w:rsidRPr="00CA3D7A" w:rsidRDefault="00447C01">
      <w:pPr>
        <w:pStyle w:val="P00"/>
        <w:spacing w:before="0"/>
        <w:ind w:left="0" w:right="1134"/>
        <w:rPr>
          <w:rStyle w:val="default"/>
          <w:rFonts w:cs="FrankRuehl" w:hint="cs"/>
          <w:vanish/>
          <w:sz w:val="20"/>
          <w:szCs w:val="20"/>
          <w:shd w:val="clear" w:color="auto" w:fill="FFFF99"/>
          <w:rtl/>
        </w:rPr>
      </w:pPr>
      <w:hyperlink r:id="rId10" w:history="1">
        <w:r w:rsidRPr="00CA3D7A">
          <w:rPr>
            <w:rStyle w:val="Hyperlink"/>
            <w:rFonts w:cs="FrankRuehl" w:hint="cs"/>
            <w:vanish/>
            <w:szCs w:val="20"/>
            <w:shd w:val="clear" w:color="auto" w:fill="FFFF99"/>
            <w:rtl/>
          </w:rPr>
          <w:t>קובץ המנשרים מס' 138</w:t>
        </w:r>
      </w:hyperlink>
      <w:r w:rsidRPr="00CA3D7A">
        <w:rPr>
          <w:rStyle w:val="default"/>
          <w:rFonts w:cs="FrankRuehl" w:hint="cs"/>
          <w:vanish/>
          <w:sz w:val="20"/>
          <w:szCs w:val="20"/>
          <w:shd w:val="clear" w:color="auto" w:fill="FFFF99"/>
          <w:rtl/>
        </w:rPr>
        <w:t xml:space="preserve"> מחודש מאי 1992 עמ' 837</w:t>
      </w:r>
    </w:p>
    <w:p w14:paraId="37E32460" w14:textId="77777777" w:rsidR="00447C01" w:rsidRPr="00CA3D7A" w:rsidRDefault="00447C01">
      <w:pPr>
        <w:pStyle w:val="P00"/>
        <w:spacing w:before="0"/>
        <w:ind w:left="0" w:right="1134"/>
        <w:rPr>
          <w:rStyle w:val="default"/>
          <w:rFonts w:cs="FrankRuehl" w:hint="cs"/>
          <w:b/>
          <w:bCs/>
          <w:vanish/>
          <w:sz w:val="20"/>
          <w:szCs w:val="20"/>
          <w:shd w:val="clear" w:color="auto" w:fill="FFFF99"/>
          <w:rtl/>
        </w:rPr>
      </w:pPr>
      <w:r w:rsidRPr="00CA3D7A">
        <w:rPr>
          <w:rStyle w:val="default"/>
          <w:rFonts w:cs="FrankRuehl" w:hint="cs"/>
          <w:b/>
          <w:bCs/>
          <w:vanish/>
          <w:sz w:val="20"/>
          <w:szCs w:val="20"/>
          <w:shd w:val="clear" w:color="auto" w:fill="FFFF99"/>
          <w:rtl/>
        </w:rPr>
        <w:t>הוספת סעיף 1א</w:t>
      </w:r>
    </w:p>
    <w:p w14:paraId="1FF7416E" w14:textId="77777777" w:rsidR="00447C01" w:rsidRPr="00CA3D7A" w:rsidRDefault="00447C01">
      <w:pPr>
        <w:pStyle w:val="P00"/>
        <w:spacing w:before="0"/>
        <w:ind w:left="0" w:right="1134"/>
        <w:rPr>
          <w:rStyle w:val="default"/>
          <w:rFonts w:cs="FrankRuehl" w:hint="cs"/>
          <w:vanish/>
          <w:sz w:val="20"/>
          <w:szCs w:val="20"/>
          <w:shd w:val="clear" w:color="auto" w:fill="FFFF99"/>
          <w:rtl/>
        </w:rPr>
      </w:pPr>
    </w:p>
    <w:p w14:paraId="6B95E888" w14:textId="77777777" w:rsidR="00C11855" w:rsidRPr="00CA3D7A" w:rsidRDefault="00C11855">
      <w:pPr>
        <w:pStyle w:val="P00"/>
        <w:spacing w:before="0"/>
        <w:ind w:left="0" w:right="1134"/>
        <w:rPr>
          <w:rStyle w:val="default"/>
          <w:rFonts w:cs="FrankRuehl" w:hint="cs"/>
          <w:vanish/>
          <w:color w:val="FF0000"/>
          <w:sz w:val="20"/>
          <w:szCs w:val="20"/>
          <w:shd w:val="clear" w:color="auto" w:fill="FFFF99"/>
          <w:rtl/>
        </w:rPr>
      </w:pPr>
      <w:r w:rsidRPr="00CA3D7A">
        <w:rPr>
          <w:rStyle w:val="default"/>
          <w:rFonts w:cs="FrankRuehl" w:hint="cs"/>
          <w:vanish/>
          <w:color w:val="FF0000"/>
          <w:sz w:val="20"/>
          <w:szCs w:val="20"/>
          <w:shd w:val="clear" w:color="auto" w:fill="FFFF99"/>
          <w:rtl/>
        </w:rPr>
        <w:t>מיום 18.7.1993</w:t>
      </w:r>
    </w:p>
    <w:p w14:paraId="7106A5DC" w14:textId="77777777" w:rsidR="00C11855" w:rsidRPr="00CA3D7A" w:rsidRDefault="00C11855">
      <w:pPr>
        <w:pStyle w:val="P00"/>
        <w:spacing w:before="0"/>
        <w:ind w:left="0" w:right="1134"/>
        <w:rPr>
          <w:rStyle w:val="default"/>
          <w:rFonts w:cs="FrankRuehl" w:hint="cs"/>
          <w:vanish/>
          <w:sz w:val="20"/>
          <w:szCs w:val="20"/>
          <w:shd w:val="clear" w:color="auto" w:fill="FFFF99"/>
          <w:rtl/>
        </w:rPr>
      </w:pPr>
      <w:r w:rsidRPr="00CA3D7A">
        <w:rPr>
          <w:rStyle w:val="default"/>
          <w:rFonts w:cs="FrankRuehl" w:hint="cs"/>
          <w:b/>
          <w:bCs/>
          <w:vanish/>
          <w:sz w:val="20"/>
          <w:szCs w:val="20"/>
          <w:shd w:val="clear" w:color="auto" w:fill="FFFF99"/>
          <w:rtl/>
        </w:rPr>
        <w:t>תיקון מס' 3 (מס' 1395) תשנ"ג-1993</w:t>
      </w:r>
    </w:p>
    <w:p w14:paraId="2715DDE3" w14:textId="77777777" w:rsidR="00C11855" w:rsidRPr="00CA3D7A" w:rsidRDefault="00C11855">
      <w:pPr>
        <w:pStyle w:val="P00"/>
        <w:spacing w:before="0"/>
        <w:ind w:left="0" w:right="1134"/>
        <w:rPr>
          <w:rStyle w:val="default"/>
          <w:rFonts w:cs="FrankRuehl" w:hint="cs"/>
          <w:vanish/>
          <w:sz w:val="20"/>
          <w:szCs w:val="20"/>
          <w:shd w:val="clear" w:color="auto" w:fill="FFFF99"/>
          <w:rtl/>
        </w:rPr>
      </w:pPr>
      <w:hyperlink r:id="rId11" w:history="1">
        <w:r w:rsidRPr="00CA3D7A">
          <w:rPr>
            <w:rStyle w:val="Hyperlink"/>
            <w:rFonts w:cs="FrankRuehl" w:hint="cs"/>
            <w:vanish/>
            <w:szCs w:val="20"/>
            <w:shd w:val="clear" w:color="auto" w:fill="FFFF99"/>
            <w:rtl/>
          </w:rPr>
          <w:t>קובץ המנשרים מס' 148</w:t>
        </w:r>
      </w:hyperlink>
      <w:r w:rsidRPr="00CA3D7A">
        <w:rPr>
          <w:rStyle w:val="default"/>
          <w:rFonts w:cs="FrankRuehl" w:hint="cs"/>
          <w:vanish/>
          <w:sz w:val="20"/>
          <w:szCs w:val="20"/>
          <w:shd w:val="clear" w:color="auto" w:fill="FFFF99"/>
          <w:rtl/>
        </w:rPr>
        <w:t xml:space="preserve"> משנת 1993 עמ' 1241</w:t>
      </w:r>
    </w:p>
    <w:p w14:paraId="0CEE15C6" w14:textId="77777777" w:rsidR="00C11855" w:rsidRPr="00CA3D7A" w:rsidRDefault="00C11855" w:rsidP="00C11855">
      <w:pPr>
        <w:pStyle w:val="P00"/>
        <w:ind w:left="0" w:right="1134"/>
        <w:rPr>
          <w:rStyle w:val="default"/>
          <w:rFonts w:cs="FrankRuehl" w:hint="cs"/>
          <w:vanish/>
          <w:sz w:val="22"/>
          <w:szCs w:val="22"/>
          <w:shd w:val="clear" w:color="auto" w:fill="FFFF99"/>
          <w:rtl/>
        </w:rPr>
      </w:pPr>
      <w:r w:rsidRPr="00CA3D7A">
        <w:rPr>
          <w:rStyle w:val="default"/>
          <w:rFonts w:cs="FrankRuehl"/>
          <w:vanish/>
          <w:sz w:val="22"/>
          <w:szCs w:val="22"/>
          <w:shd w:val="clear" w:color="auto" w:fill="FFFF99"/>
          <w:rtl/>
        </w:rPr>
        <w:tab/>
      </w:r>
      <w:r w:rsidRPr="00CA3D7A">
        <w:rPr>
          <w:rStyle w:val="default"/>
          <w:rFonts w:cs="FrankRuehl" w:hint="cs"/>
          <w:vanish/>
          <w:sz w:val="22"/>
          <w:szCs w:val="22"/>
          <w:shd w:val="clear" w:color="auto" w:fill="FFFF99"/>
          <w:rtl/>
        </w:rPr>
        <w:t>(א)</w:t>
      </w:r>
      <w:r w:rsidRPr="00CA3D7A">
        <w:rPr>
          <w:rStyle w:val="default"/>
          <w:rFonts w:cs="FrankRuehl" w:hint="cs"/>
          <w:vanish/>
          <w:sz w:val="22"/>
          <w:szCs w:val="22"/>
          <w:shd w:val="clear" w:color="auto" w:fill="FFFF99"/>
          <w:rtl/>
        </w:rPr>
        <w:tab/>
        <w:t xml:space="preserve">מפקד משטרה כהגדרתו בצו בדבר מינויי שוטרים והעסקתם (יהודה והשומרון) (מס' 95), התשכ"ז-1967 או קצין חקירות, שהוסמך על ידי מפקד כוחות המשטרה לעניין זה בהסמכת היועץ המשפטי , רשאים להורות על סגירת תיק חקירה, אם היו סבורים שלא היה בחקירה עניין לציבור או שלא נמצאו ראיות מספיקות </w:t>
      </w:r>
      <w:r w:rsidRPr="00CA3D7A">
        <w:rPr>
          <w:rStyle w:val="default"/>
          <w:rFonts w:cs="FrankRuehl" w:hint="cs"/>
          <w:strike/>
          <w:vanish/>
          <w:sz w:val="22"/>
          <w:szCs w:val="22"/>
          <w:shd w:val="clear" w:color="auto" w:fill="FFFF99"/>
          <w:rtl/>
        </w:rPr>
        <w:t>או שלא נמצא חשוד בביצוע העבירה או שהחקירה לא העלתה חשד לביצוע עבירה</w:t>
      </w:r>
      <w:r w:rsidRPr="00CA3D7A">
        <w:rPr>
          <w:rStyle w:val="default"/>
          <w:rFonts w:cs="FrankRuehl" w:hint="cs"/>
          <w:vanish/>
          <w:sz w:val="22"/>
          <w:szCs w:val="22"/>
          <w:shd w:val="clear" w:color="auto" w:fill="FFFF99"/>
          <w:rtl/>
        </w:rPr>
        <w:t>, ותיק החקירה נוגע לעניינים הבאים:</w:t>
      </w:r>
    </w:p>
    <w:p w14:paraId="24C60B46" w14:textId="77777777" w:rsidR="00C11855" w:rsidRPr="00CA3D7A" w:rsidRDefault="00C11855" w:rsidP="00C11855">
      <w:pPr>
        <w:pStyle w:val="P00"/>
        <w:spacing w:before="0"/>
        <w:ind w:left="1021" w:right="1134"/>
        <w:rPr>
          <w:rStyle w:val="default"/>
          <w:rFonts w:cs="FrankRuehl" w:hint="cs"/>
          <w:vanish/>
          <w:sz w:val="22"/>
          <w:szCs w:val="22"/>
          <w:shd w:val="clear" w:color="auto" w:fill="FFFF99"/>
          <w:rtl/>
        </w:rPr>
      </w:pPr>
      <w:r w:rsidRPr="00CA3D7A">
        <w:rPr>
          <w:rStyle w:val="default"/>
          <w:rFonts w:cs="FrankRuehl" w:hint="cs"/>
          <w:vanish/>
          <w:sz w:val="22"/>
          <w:szCs w:val="22"/>
          <w:shd w:val="clear" w:color="auto" w:fill="FFFF99"/>
          <w:rtl/>
        </w:rPr>
        <w:t>(1)</w:t>
      </w:r>
      <w:r w:rsidRPr="00CA3D7A">
        <w:rPr>
          <w:rStyle w:val="default"/>
          <w:rFonts w:cs="FrankRuehl" w:hint="cs"/>
          <w:vanish/>
          <w:sz w:val="22"/>
          <w:szCs w:val="22"/>
          <w:shd w:val="clear" w:color="auto" w:fill="FFFF99"/>
          <w:rtl/>
        </w:rPr>
        <w:tab/>
        <w:t>עבירה על הדין מסוג עוון או חטא; או</w:t>
      </w:r>
    </w:p>
    <w:p w14:paraId="5CAB34B3" w14:textId="77777777" w:rsidR="00C11855" w:rsidRPr="00CA3D7A" w:rsidRDefault="00C11855" w:rsidP="00C11855">
      <w:pPr>
        <w:pStyle w:val="P00"/>
        <w:spacing w:before="0"/>
        <w:ind w:left="1021" w:right="1134"/>
        <w:rPr>
          <w:rStyle w:val="default"/>
          <w:rFonts w:cs="FrankRuehl" w:hint="cs"/>
          <w:vanish/>
          <w:sz w:val="22"/>
          <w:szCs w:val="22"/>
          <w:shd w:val="clear" w:color="auto" w:fill="FFFF99"/>
          <w:rtl/>
        </w:rPr>
      </w:pPr>
      <w:r w:rsidRPr="00CA3D7A">
        <w:rPr>
          <w:rStyle w:val="default"/>
          <w:rFonts w:cs="FrankRuehl" w:hint="cs"/>
          <w:vanish/>
          <w:sz w:val="22"/>
          <w:szCs w:val="22"/>
          <w:shd w:val="clear" w:color="auto" w:fill="FFFF99"/>
          <w:rtl/>
        </w:rPr>
        <w:t>(2)</w:t>
      </w:r>
      <w:r w:rsidRPr="00CA3D7A">
        <w:rPr>
          <w:rStyle w:val="default"/>
          <w:rFonts w:cs="FrankRuehl" w:hint="cs"/>
          <w:vanish/>
          <w:sz w:val="22"/>
          <w:szCs w:val="22"/>
          <w:shd w:val="clear" w:color="auto" w:fill="FFFF99"/>
          <w:rtl/>
        </w:rPr>
        <w:tab/>
        <w:t>עבירה על תחיקת הבטחון שהעונש הקבוע לגביה אינו עולה על חמש שנות מאסר; או</w:t>
      </w:r>
    </w:p>
    <w:p w14:paraId="2F11A0AD" w14:textId="77777777" w:rsidR="00C11855" w:rsidRPr="00CA3D7A" w:rsidRDefault="00C11855" w:rsidP="00CA3D7A">
      <w:pPr>
        <w:pStyle w:val="P00"/>
        <w:spacing w:before="0"/>
        <w:ind w:left="1021" w:right="1134"/>
        <w:rPr>
          <w:rStyle w:val="default"/>
          <w:rFonts w:cs="FrankRuehl" w:hint="cs"/>
          <w:sz w:val="2"/>
          <w:szCs w:val="2"/>
          <w:rtl/>
        </w:rPr>
      </w:pPr>
      <w:r w:rsidRPr="00CA3D7A">
        <w:rPr>
          <w:rStyle w:val="default"/>
          <w:rFonts w:cs="FrankRuehl" w:hint="cs"/>
          <w:vanish/>
          <w:sz w:val="22"/>
          <w:szCs w:val="22"/>
          <w:shd w:val="clear" w:color="auto" w:fill="FFFF99"/>
          <w:rtl/>
        </w:rPr>
        <w:t>(3)</w:t>
      </w:r>
      <w:r w:rsidRPr="00CA3D7A">
        <w:rPr>
          <w:rStyle w:val="default"/>
          <w:rFonts w:cs="FrankRuehl" w:hint="cs"/>
          <w:vanish/>
          <w:sz w:val="22"/>
          <w:szCs w:val="22"/>
          <w:shd w:val="clear" w:color="auto" w:fill="FFFF99"/>
          <w:rtl/>
        </w:rPr>
        <w:tab/>
        <w:t xml:space="preserve">עבירה </w:t>
      </w:r>
      <w:r w:rsidRPr="00CA3D7A">
        <w:rPr>
          <w:rStyle w:val="default"/>
          <w:rFonts w:cs="FrankRuehl" w:hint="cs"/>
          <w:vanish/>
          <w:sz w:val="22"/>
          <w:szCs w:val="22"/>
          <w:u w:val="single"/>
          <w:shd w:val="clear" w:color="auto" w:fill="FFFF99"/>
          <w:rtl/>
        </w:rPr>
        <w:t>על הדין מסוג פשע ועבירה</w:t>
      </w:r>
      <w:r w:rsidRPr="00CA3D7A">
        <w:rPr>
          <w:rStyle w:val="default"/>
          <w:rFonts w:cs="FrankRuehl" w:hint="cs"/>
          <w:vanish/>
          <w:sz w:val="22"/>
          <w:szCs w:val="22"/>
          <w:shd w:val="clear" w:color="auto" w:fill="FFFF99"/>
          <w:rtl/>
        </w:rPr>
        <w:t xml:space="preserve"> על תחיקת הבטחון שהעונש הקבוע לגביה עולה על חמש שנות מאסר שנקבעה בהודעה על ידי היועץ המשפטי לענין זה.</w:t>
      </w:r>
      <w:bookmarkEnd w:id="2"/>
    </w:p>
    <w:p w14:paraId="524DEB08" w14:textId="77777777" w:rsidR="00447C01" w:rsidRDefault="00447C01">
      <w:pPr>
        <w:pStyle w:val="P00"/>
        <w:spacing w:before="72"/>
        <w:ind w:left="0" w:right="1134"/>
        <w:rPr>
          <w:rStyle w:val="default"/>
          <w:rFonts w:cs="FrankRuehl" w:hint="cs"/>
          <w:rtl/>
        </w:rPr>
      </w:pPr>
      <w:bookmarkStart w:id="3" w:name="Seif2"/>
      <w:bookmarkEnd w:id="3"/>
      <w:r>
        <w:rPr>
          <w:rFonts w:cs="Miriam"/>
          <w:lang w:val="he-IL"/>
        </w:rPr>
        <w:pict w14:anchorId="58DDE0CA">
          <v:rect id="_x0000_s1214" style="position:absolute;left:0;text-align:left;margin-left:464.35pt;margin-top:7.1pt;width:75.05pt;height:31.25pt;z-index:251655680" o:allowincell="f" filled="f" stroked="f" strokecolor="lime" strokeweight=".25pt">
            <v:textbox style="mso-next-textbox:#_x0000_s1214" inset="0,0,0,0">
              <w:txbxContent>
                <w:p w14:paraId="0FF68561" w14:textId="77777777" w:rsidR="00447C01" w:rsidRDefault="00447C01">
                  <w:pPr>
                    <w:pStyle w:val="a7"/>
                    <w:rPr>
                      <w:rFonts w:hint="cs"/>
                      <w:noProof/>
                      <w:rtl/>
                    </w:rPr>
                  </w:pPr>
                  <w:r>
                    <w:rPr>
                      <w:rFonts w:hint="cs"/>
                      <w:rtl/>
                    </w:rPr>
                    <w:t>דין תיק חקירה שהועבר לתובע הצבאי</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הועבר תיק חקירה בקשר לעבירה על הדין על ידי המשטרה לידי תובע צבאי או דרש תובע </w:t>
      </w:r>
      <w:r>
        <w:rPr>
          <w:rStyle w:val="default"/>
          <w:rFonts w:cs="FrankRuehl" w:hint="cs"/>
          <w:rtl/>
        </w:rPr>
        <w:lastRenderedPageBreak/>
        <w:t>צבאי, בכתב, העברת תיק חקירה כאמור לידיו הרי מעת ההעברה או מעת קבל הדרישה, לפי המקרה, יחולו לגבי התיק רק הליכים שנקבעו בתחיקת בטחון.</w:t>
      </w:r>
    </w:p>
    <w:p w14:paraId="123E781D" w14:textId="77777777" w:rsidR="00447C01" w:rsidRDefault="00447C01">
      <w:pPr>
        <w:pStyle w:val="P00"/>
        <w:spacing w:before="72"/>
        <w:ind w:left="0" w:right="1134"/>
        <w:rPr>
          <w:rStyle w:val="default"/>
          <w:rFonts w:cs="FrankRuehl" w:hint="cs"/>
          <w:rtl/>
        </w:rPr>
      </w:pPr>
      <w:bookmarkStart w:id="4" w:name="Seif3"/>
      <w:bookmarkEnd w:id="4"/>
      <w:r>
        <w:rPr>
          <w:rFonts w:cs="Miriam"/>
          <w:lang w:val="he-IL"/>
        </w:rPr>
        <w:pict w14:anchorId="5305885D">
          <v:rect id="_x0000_s1239" style="position:absolute;left:0;text-align:left;margin-left:464.35pt;margin-top:7.1pt;width:75.05pt;height:12.3pt;z-index:251656704" o:allowincell="f" filled="f" stroked="f" strokecolor="lime" strokeweight=".25pt">
            <v:textbox style="mso-next-textbox:#_x0000_s1239" inset="0,0,0,0">
              <w:txbxContent>
                <w:p w14:paraId="46DCAE7E" w14:textId="77777777" w:rsidR="00447C01" w:rsidRDefault="00447C01">
                  <w:pPr>
                    <w:pStyle w:val="a7"/>
                    <w:rPr>
                      <w:rFonts w:hint="cs"/>
                      <w:noProof/>
                      <w:rtl/>
                    </w:rPr>
                  </w:pPr>
                  <w:r>
                    <w:rPr>
                      <w:rFonts w:hint="cs"/>
                      <w:rtl/>
                    </w:rPr>
                    <w:t>תחילת תוקף</w:t>
                  </w:r>
                </w:p>
              </w:txbxContent>
            </v:textbox>
            <w10:anchorlock/>
          </v:rect>
        </w:pict>
      </w:r>
      <w:r>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תחילת תוקפו של צו זה ביום חתימתו.</w:t>
      </w:r>
    </w:p>
    <w:p w14:paraId="01929AB9" w14:textId="77777777" w:rsidR="00447C01" w:rsidRDefault="00447C01">
      <w:pPr>
        <w:pStyle w:val="P00"/>
        <w:spacing w:before="72"/>
        <w:ind w:left="0" w:right="1134"/>
        <w:rPr>
          <w:rStyle w:val="default"/>
          <w:rFonts w:cs="FrankRuehl" w:hint="cs"/>
          <w:rtl/>
        </w:rPr>
      </w:pPr>
      <w:bookmarkStart w:id="5" w:name="Seif4"/>
      <w:bookmarkEnd w:id="5"/>
      <w:r>
        <w:rPr>
          <w:rFonts w:cs="Miriam"/>
          <w:lang w:val="he-IL"/>
        </w:rPr>
        <w:pict w14:anchorId="164D2F9B">
          <v:rect id="_x0000_s1253" style="position:absolute;left:0;text-align:left;margin-left:464.35pt;margin-top:7.1pt;width:75.05pt;height:16.8pt;z-index:251657728" o:allowincell="f" filled="f" stroked="f" strokecolor="lime" strokeweight=".25pt">
            <v:textbox style="mso-next-textbox:#_x0000_s1253" inset="0,0,0,0">
              <w:txbxContent>
                <w:p w14:paraId="3D6057BC" w14:textId="77777777" w:rsidR="00447C01" w:rsidRDefault="00447C01">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צו זה ייקרא: "צו בדבר סגירת תיקים (יהודה והשומרון) (מס' 841) תש"ם-1980".</w:t>
      </w:r>
    </w:p>
    <w:p w14:paraId="704668CC" w14:textId="77777777" w:rsidR="00447C01" w:rsidRDefault="00447C01">
      <w:pPr>
        <w:pStyle w:val="P00"/>
        <w:spacing w:before="72"/>
        <w:ind w:left="0" w:right="1134"/>
        <w:rPr>
          <w:rStyle w:val="default"/>
          <w:rFonts w:cs="FrankRuehl" w:hint="cs"/>
          <w:rtl/>
        </w:rPr>
      </w:pPr>
    </w:p>
    <w:p w14:paraId="582F3FC9" w14:textId="77777777" w:rsidR="00447C01" w:rsidRDefault="00447C01">
      <w:pPr>
        <w:pStyle w:val="P00"/>
        <w:spacing w:before="72"/>
        <w:ind w:left="0" w:right="1134"/>
        <w:rPr>
          <w:rStyle w:val="default"/>
          <w:rFonts w:cs="FrankRuehl" w:hint="cs"/>
          <w:rtl/>
        </w:rPr>
      </w:pPr>
    </w:p>
    <w:p w14:paraId="27AEFA22" w14:textId="77777777" w:rsidR="00447C01" w:rsidRDefault="00447C01">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כ"ט באייר תש"ם (15 במאי 1980)</w:t>
      </w:r>
      <w:r>
        <w:rPr>
          <w:rStyle w:val="default"/>
          <w:rFonts w:cs="FrankRuehl" w:hint="cs"/>
          <w:rtl/>
        </w:rPr>
        <w:tab/>
        <w:t>בנימין בן אליעזר</w:t>
      </w:r>
      <w:r>
        <w:rPr>
          <w:rFonts w:cs="FrankRuehl" w:hint="cs"/>
          <w:rtl/>
        </w:rPr>
        <w:t>, תת-אלוף</w:t>
      </w:r>
    </w:p>
    <w:p w14:paraId="7EBEA458" w14:textId="77777777" w:rsidR="00447C01" w:rsidRDefault="00447C01">
      <w:pPr>
        <w:pStyle w:val="sig-0"/>
        <w:tabs>
          <w:tab w:val="clear" w:pos="4820"/>
          <w:tab w:val="center" w:pos="5103"/>
        </w:tabs>
        <w:ind w:left="0" w:right="1134"/>
        <w:rPr>
          <w:rFonts w:cs="FrankRuehl" w:hint="cs"/>
          <w:sz w:val="22"/>
          <w:szCs w:val="22"/>
          <w:rtl/>
        </w:rPr>
      </w:pPr>
      <w:r>
        <w:rPr>
          <w:rFonts w:cs="FrankRuehl" w:hint="cs"/>
          <w:sz w:val="22"/>
          <w:szCs w:val="22"/>
          <w:rtl/>
        </w:rPr>
        <w:tab/>
        <w:t>מפקד אזור יהודה והשומרון</w:t>
      </w:r>
    </w:p>
    <w:p w14:paraId="72B3B46F" w14:textId="77777777" w:rsidR="00447C01" w:rsidRDefault="00447C01">
      <w:pPr>
        <w:pStyle w:val="sig-0"/>
        <w:tabs>
          <w:tab w:val="clear" w:pos="4820"/>
          <w:tab w:val="center" w:pos="5670"/>
        </w:tabs>
        <w:ind w:left="0" w:right="1134"/>
        <w:rPr>
          <w:rFonts w:cs="FrankRuehl" w:hint="cs"/>
          <w:sz w:val="26"/>
          <w:rtl/>
        </w:rPr>
      </w:pPr>
    </w:p>
    <w:p w14:paraId="731DF8E3" w14:textId="77777777" w:rsidR="00447C01" w:rsidRDefault="00447C01">
      <w:pPr>
        <w:pStyle w:val="sig-0"/>
        <w:tabs>
          <w:tab w:val="clear" w:pos="4820"/>
          <w:tab w:val="center" w:pos="5670"/>
        </w:tabs>
        <w:ind w:left="0" w:right="1134"/>
        <w:rPr>
          <w:rFonts w:cs="FrankRuehl" w:hint="cs"/>
          <w:sz w:val="26"/>
          <w:rtl/>
        </w:rPr>
      </w:pPr>
    </w:p>
    <w:p w14:paraId="5FE21253" w14:textId="77777777" w:rsidR="00EA64B3" w:rsidRDefault="00EA64B3">
      <w:pPr>
        <w:pStyle w:val="sig-0"/>
        <w:ind w:left="0" w:right="1134"/>
        <w:rPr>
          <w:rFonts w:cs="FrankRuehl"/>
          <w:sz w:val="26"/>
          <w:rtl/>
        </w:rPr>
      </w:pPr>
    </w:p>
    <w:p w14:paraId="7EE5EFB6" w14:textId="77777777" w:rsidR="00EA64B3" w:rsidRDefault="00EA64B3">
      <w:pPr>
        <w:pStyle w:val="sig-0"/>
        <w:ind w:left="0" w:right="1134"/>
        <w:rPr>
          <w:rFonts w:cs="FrankRuehl"/>
          <w:sz w:val="26"/>
          <w:rtl/>
        </w:rPr>
      </w:pPr>
    </w:p>
    <w:p w14:paraId="562A1918" w14:textId="77777777" w:rsidR="00EA64B3" w:rsidRDefault="00EA64B3" w:rsidP="00EA64B3">
      <w:pPr>
        <w:pStyle w:val="sig-0"/>
        <w:ind w:left="0" w:right="1134"/>
        <w:jc w:val="center"/>
        <w:rPr>
          <w:rFonts w:cs="David"/>
          <w:color w:val="0000FF"/>
          <w:sz w:val="26"/>
          <w:szCs w:val="24"/>
          <w:u w:val="single"/>
          <w:rtl/>
        </w:rPr>
      </w:pPr>
      <w:hyperlink r:id="rId12" w:history="1">
        <w:r>
          <w:rPr>
            <w:rFonts w:cs="David"/>
            <w:color w:val="0000FF"/>
            <w:sz w:val="26"/>
            <w:szCs w:val="24"/>
            <w:u w:val="single"/>
            <w:rtl/>
          </w:rPr>
          <w:t>הודעה למנויים על עריכה ושינויים במסמכי פסיקה, חקיקה ועוד באתר נבו - הקש כאן</w:t>
        </w:r>
      </w:hyperlink>
    </w:p>
    <w:p w14:paraId="281190DA" w14:textId="77777777" w:rsidR="00447C01" w:rsidRPr="00EA64B3" w:rsidRDefault="00447C01" w:rsidP="00EA64B3">
      <w:pPr>
        <w:pStyle w:val="sig-0"/>
        <w:ind w:left="0" w:right="1134"/>
        <w:jc w:val="center"/>
        <w:rPr>
          <w:rFonts w:cs="David"/>
          <w:color w:val="0000FF"/>
          <w:sz w:val="26"/>
          <w:szCs w:val="24"/>
          <w:u w:val="single"/>
          <w:rtl/>
        </w:rPr>
      </w:pPr>
    </w:p>
    <w:sectPr w:rsidR="00447C01" w:rsidRPr="00EA64B3">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B57A7" w14:textId="77777777" w:rsidR="004C790F" w:rsidRDefault="004C790F" w:rsidP="00447C01">
      <w:pPr>
        <w:pStyle w:val="sig-0"/>
      </w:pPr>
      <w:r>
        <w:separator/>
      </w:r>
    </w:p>
  </w:endnote>
  <w:endnote w:type="continuationSeparator" w:id="0">
    <w:p w14:paraId="05EE62C3" w14:textId="77777777" w:rsidR="004C790F" w:rsidRDefault="004C790F" w:rsidP="00447C01">
      <w:pPr>
        <w:pStyle w:val="sig-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16CC" w14:textId="77777777" w:rsidR="00447C01" w:rsidRDefault="00447C0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0805AE3" w14:textId="77777777" w:rsidR="00447C01" w:rsidRDefault="00447C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2B9AF1" w14:textId="77777777" w:rsidR="00447C01" w:rsidRDefault="00447C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64B3">
      <w:rPr>
        <w:rFonts w:cs="TopType Jerushalmi"/>
        <w:noProof/>
        <w:color w:val="000000"/>
        <w:sz w:val="14"/>
        <w:szCs w:val="14"/>
      </w:rPr>
      <w:t>Z:\000-law\yael\2015\2015-02-23\666_015.doc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2C97" w14:textId="77777777" w:rsidR="00447C01" w:rsidRDefault="00447C0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A64B3">
      <w:rPr>
        <w:rFonts w:hAnsi="FrankRuehl" w:cs="FrankRuehl"/>
        <w:noProof/>
        <w:sz w:val="24"/>
        <w:szCs w:val="24"/>
        <w:rtl/>
      </w:rPr>
      <w:t>3</w:t>
    </w:r>
    <w:r>
      <w:rPr>
        <w:rFonts w:hAnsi="FrankRuehl" w:cs="FrankRuehl"/>
        <w:sz w:val="24"/>
        <w:szCs w:val="24"/>
        <w:rtl/>
      </w:rPr>
      <w:fldChar w:fldCharType="end"/>
    </w:r>
  </w:p>
  <w:p w14:paraId="4F6279EA" w14:textId="77777777" w:rsidR="00447C01" w:rsidRDefault="00447C0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FEBF6C7" w14:textId="77777777" w:rsidR="00447C01" w:rsidRDefault="00447C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64B3">
      <w:rPr>
        <w:rFonts w:cs="TopType Jerushalmi"/>
        <w:noProof/>
        <w:color w:val="000000"/>
        <w:sz w:val="14"/>
        <w:szCs w:val="14"/>
      </w:rPr>
      <w:t>Z:\000-law\yael\2015\2015-02-23\666_015.doc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7FC4A" w14:textId="77777777" w:rsidR="004C790F" w:rsidRDefault="004C790F">
      <w:pPr>
        <w:pStyle w:val="a5"/>
        <w:rPr>
          <w:rFonts w:cs="David"/>
          <w:sz w:val="24"/>
          <w:szCs w:val="24"/>
        </w:rPr>
      </w:pPr>
      <w:r>
        <w:separator/>
      </w:r>
    </w:p>
  </w:footnote>
  <w:footnote w:type="continuationSeparator" w:id="0">
    <w:p w14:paraId="2247BE41" w14:textId="77777777" w:rsidR="004C790F" w:rsidRDefault="004C790F" w:rsidP="00447C01">
      <w:pPr>
        <w:pStyle w:val="sig-0"/>
      </w:pPr>
      <w:r>
        <w:continuationSeparator/>
      </w:r>
    </w:p>
  </w:footnote>
  <w:footnote w:id="1">
    <w:p w14:paraId="09BD00E3" w14:textId="77777777" w:rsidR="00447C01" w:rsidRDefault="00447C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קובץ המנשרים מס' 47</w:t>
        </w:r>
      </w:hyperlink>
      <w:r>
        <w:rPr>
          <w:rFonts w:cs="FrankRuehl" w:hint="cs"/>
          <w:rtl/>
        </w:rPr>
        <w:t xml:space="preserve"> מיום 30.4.1982 עמ' 432.</w:t>
      </w:r>
    </w:p>
    <w:p w14:paraId="32D7CCC6" w14:textId="77777777" w:rsidR="00447C01" w:rsidRDefault="00447C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קובץ המנשרים מס' 56</w:t>
        </w:r>
      </w:hyperlink>
      <w:r>
        <w:rPr>
          <w:rFonts w:cs="FrankRuehl" w:hint="cs"/>
          <w:rtl/>
        </w:rPr>
        <w:t xml:space="preserve"> מיום 5.5.1983 עמ' 40 </w:t>
      </w:r>
      <w:r>
        <w:rPr>
          <w:rFonts w:cs="FrankRuehl"/>
          <w:rtl/>
        </w:rPr>
        <w:t>–</w:t>
      </w:r>
      <w:r>
        <w:rPr>
          <w:rFonts w:cs="FrankRuehl" w:hint="cs"/>
          <w:rtl/>
        </w:rPr>
        <w:t xml:space="preserve"> תיקון מס' 1 (מס' 1000) תשמ"ב-1982; תחילתו ביום 20.6.1982.</w:t>
      </w:r>
    </w:p>
    <w:p w14:paraId="1BD78646" w14:textId="77777777" w:rsidR="00447C01" w:rsidRDefault="00447C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eastAsia"/>
            <w:rtl/>
          </w:rPr>
          <w:t>קובץ</w:t>
        </w:r>
        <w:r>
          <w:rPr>
            <w:rStyle w:val="Hyperlink"/>
            <w:rFonts w:cs="FrankRuehl"/>
            <w:rtl/>
          </w:rPr>
          <w:t xml:space="preserve"> המנשרים מס' 138</w:t>
        </w:r>
      </w:hyperlink>
      <w:r>
        <w:rPr>
          <w:rFonts w:cs="FrankRuehl" w:hint="cs"/>
          <w:rtl/>
        </w:rPr>
        <w:t xml:space="preserve"> מחודש מאי 1992 עמ' 837 </w:t>
      </w:r>
      <w:r>
        <w:rPr>
          <w:rFonts w:cs="FrankRuehl"/>
          <w:rtl/>
        </w:rPr>
        <w:t>–</w:t>
      </w:r>
      <w:r>
        <w:rPr>
          <w:rFonts w:cs="FrankRuehl" w:hint="cs"/>
          <w:rtl/>
        </w:rPr>
        <w:t xml:space="preserve"> תיקון מס' 2 (מס' 1375) תשנ"ב-1992; תחילתו ביום 8.7.1992.</w:t>
      </w:r>
    </w:p>
    <w:p w14:paraId="3646E3B4" w14:textId="77777777" w:rsidR="00447C01" w:rsidRDefault="00C118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447C01" w:rsidRPr="00C11855">
          <w:rPr>
            <w:rStyle w:val="Hyperlink"/>
            <w:rFonts w:cs="FrankRuehl" w:hint="cs"/>
            <w:rtl/>
          </w:rPr>
          <w:t xml:space="preserve">קובץ המנשרים מס' </w:t>
        </w:r>
        <w:r w:rsidRPr="00C11855">
          <w:rPr>
            <w:rStyle w:val="Hyperlink"/>
            <w:rFonts w:cs="FrankRuehl" w:hint="cs"/>
            <w:rtl/>
          </w:rPr>
          <w:t>148</w:t>
        </w:r>
      </w:hyperlink>
      <w:r>
        <w:rPr>
          <w:rFonts w:cs="FrankRuehl" w:hint="cs"/>
          <w:rtl/>
        </w:rPr>
        <w:t xml:space="preserve"> משנת תשנ"ג </w:t>
      </w:r>
      <w:r w:rsidR="00447C01">
        <w:rPr>
          <w:rFonts w:cs="FrankRuehl" w:hint="cs"/>
          <w:rtl/>
        </w:rPr>
        <w:t xml:space="preserve">עמ' </w:t>
      </w:r>
      <w:r>
        <w:rPr>
          <w:rFonts w:cs="FrankRuehl" w:hint="cs"/>
          <w:rtl/>
        </w:rPr>
        <w:t xml:space="preserve">1241 </w:t>
      </w:r>
      <w:r w:rsidR="00447C01">
        <w:rPr>
          <w:rFonts w:cs="FrankRuehl"/>
          <w:rtl/>
        </w:rPr>
        <w:t>–</w:t>
      </w:r>
      <w:r w:rsidR="00447C01">
        <w:rPr>
          <w:rFonts w:cs="FrankRuehl" w:hint="cs"/>
          <w:rtl/>
        </w:rPr>
        <w:t xml:space="preserve"> תיקון מס' 3 (מס' </w:t>
      </w:r>
      <w:r>
        <w:rPr>
          <w:rFonts w:cs="FrankRuehl" w:hint="cs"/>
          <w:rtl/>
        </w:rPr>
        <w:t>1395</w:t>
      </w:r>
      <w:r w:rsidR="00447C01">
        <w:rPr>
          <w:rFonts w:cs="FrankRuehl" w:hint="cs"/>
          <w:rtl/>
        </w:rPr>
        <w:t xml:space="preserve">) </w:t>
      </w:r>
      <w:r>
        <w:rPr>
          <w:rFonts w:cs="FrankRuehl" w:hint="cs"/>
          <w:rtl/>
        </w:rPr>
        <w:t>תשנ"ג-1993</w:t>
      </w:r>
      <w:r w:rsidR="00447C01">
        <w:rPr>
          <w:rFonts w:cs="FrankRuehl" w:hint="cs"/>
          <w:rtl/>
        </w:rPr>
        <w:t xml:space="preserve">; תחילתו ביום </w:t>
      </w:r>
      <w:r>
        <w:rPr>
          <w:rFonts w:cs="FrankRuehl" w:hint="cs"/>
          <w:rtl/>
        </w:rPr>
        <w:t>18.7.1993</w:t>
      </w:r>
      <w:r w:rsidR="00447C01">
        <w:rPr>
          <w:rFonts w:cs="FrankRuehl" w:hint="cs"/>
          <w:rtl/>
        </w:rPr>
        <w:t>.</w:t>
      </w:r>
    </w:p>
    <w:p w14:paraId="589A33AD" w14:textId="77777777" w:rsidR="00447C01" w:rsidRDefault="00447C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קובץ המנשרים מס' 210</w:t>
        </w:r>
      </w:hyperlink>
      <w:r>
        <w:rPr>
          <w:rFonts w:cs="FrankRuehl" w:hint="cs"/>
          <w:rtl/>
        </w:rPr>
        <w:t xml:space="preserve"> מחודש ינואר 2006 עמ' 4063 </w:t>
      </w:r>
      <w:r>
        <w:rPr>
          <w:rFonts w:cs="FrankRuehl"/>
          <w:rtl/>
        </w:rPr>
        <w:t>–</w:t>
      </w:r>
      <w:r>
        <w:rPr>
          <w:rFonts w:cs="FrankRuehl" w:hint="cs"/>
          <w:rtl/>
        </w:rPr>
        <w:t xml:space="preserve"> תיקון מס' 4 (מס' 1577) תשס"ו-2006; תחילתו ביום 12.1.2006.</w:t>
      </w:r>
    </w:p>
    <w:p w14:paraId="2EBD5209" w14:textId="77777777" w:rsidR="00A54845" w:rsidRDefault="00A548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בוטל </w:t>
      </w:r>
      <w:hyperlink r:id="rId6" w:history="1">
        <w:r w:rsidRPr="00AC41E7">
          <w:rPr>
            <w:rStyle w:val="Hyperlink"/>
            <w:rFonts w:cs="FrankRuehl" w:hint="cs"/>
            <w:rtl/>
          </w:rPr>
          <w:t>קובץ המנשרים מס' 234</w:t>
        </w:r>
      </w:hyperlink>
      <w:r>
        <w:rPr>
          <w:rFonts w:cs="FrankRuehl" w:hint="cs"/>
          <w:rtl/>
        </w:rPr>
        <w:t xml:space="preserve"> מחודש דצמבר 2009 עמ' 5911 כחלק מהצו בדבר הוראות ביטחון [נוסח משולב] (יהודה והשומרון) (מס' 1651), תש"ע-2009; תחילתו ביום 2.5.2010.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D2BE" w14:textId="77777777" w:rsidR="00447C01" w:rsidRDefault="00447C0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395C2B5" w14:textId="77777777" w:rsidR="00447C01" w:rsidRDefault="00447C0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5B3AA6" w14:textId="77777777" w:rsidR="00447C01" w:rsidRDefault="00447C0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2A50" w14:textId="77777777" w:rsidR="00447C01" w:rsidRDefault="00447C0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סגירת תיקים (יהודה והשומרון) (מס' 841), תש"ם-1980</w:t>
    </w:r>
  </w:p>
  <w:p w14:paraId="14FF238B" w14:textId="77777777" w:rsidR="00447C01" w:rsidRDefault="00447C0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03554E" w14:textId="77777777" w:rsidR="00447C01" w:rsidRDefault="00447C0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0676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1855"/>
    <w:rsid w:val="00103807"/>
    <w:rsid w:val="00447C01"/>
    <w:rsid w:val="004C790F"/>
    <w:rsid w:val="005B456F"/>
    <w:rsid w:val="006F6137"/>
    <w:rsid w:val="00A54845"/>
    <w:rsid w:val="00B5413F"/>
    <w:rsid w:val="00B92F73"/>
    <w:rsid w:val="00C11855"/>
    <w:rsid w:val="00C12C15"/>
    <w:rsid w:val="00C80F55"/>
    <w:rsid w:val="00CA3D7A"/>
    <w:rsid w:val="00EA64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C0A05B3"/>
  <w15:chartTrackingRefBased/>
  <w15:docId w15:val="{44A8F0B6-7717-4BC4-A1A5-4A2FF483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eb1.nevo.co.il/Law_word/law70/ZAVA-0138.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70/ZAVA-0056.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148.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eb1.nevo.co.il/Law_word/law70/ZAVA-0138.pdf" TargetMode="External"/><Relationship Id="rId4" Type="http://schemas.openxmlformats.org/officeDocument/2006/relationships/webSettings" Target="webSettings.xml"/><Relationship Id="rId9" Type="http://schemas.openxmlformats.org/officeDocument/2006/relationships/hyperlink" Target="http://web1.nevo.co.il/Law_word/law70/ZAVA-0210.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eb1.nevo.co.il/Law_word/law70/ZAVA-0138.pdf" TargetMode="External"/><Relationship Id="rId2" Type="http://schemas.openxmlformats.org/officeDocument/2006/relationships/hyperlink" Target="http://www.nevo.co.il/Law_word/law70/ZAVA-0056.pdf" TargetMode="External"/><Relationship Id="rId1" Type="http://schemas.openxmlformats.org/officeDocument/2006/relationships/hyperlink" Target="http://www.nevo.co.il/Law_word/law70/ZAVA-0047.pdf" TargetMode="External"/><Relationship Id="rId6" Type="http://schemas.openxmlformats.org/officeDocument/2006/relationships/hyperlink" Target="http://www.nevo.co.il/Law_word/law70/zava-0234.pdf" TargetMode="External"/><Relationship Id="rId5" Type="http://schemas.openxmlformats.org/officeDocument/2006/relationships/hyperlink" Target="http://web1.nevo.co.il/Law_word/law70/ZAVA-0210.pdf" TargetMode="External"/><Relationship Id="rId4" Type="http://schemas.openxmlformats.org/officeDocument/2006/relationships/hyperlink" Target="http://www.nevo.co.il/Law_word/law70/zava-01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4448</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5218</CharactersWithSpaces>
  <SharedDoc>false</SharedDoc>
  <HLinks>
    <vt:vector size="96" baseType="variant">
      <vt:variant>
        <vt:i4>393283</vt:i4>
      </vt:variant>
      <vt:variant>
        <vt:i4>39</vt:i4>
      </vt:variant>
      <vt:variant>
        <vt:i4>0</vt:i4>
      </vt:variant>
      <vt:variant>
        <vt:i4>5</vt:i4>
      </vt:variant>
      <vt:variant>
        <vt:lpwstr>http://www.nevo.co.il/advertisements/nevo-100.doc</vt:lpwstr>
      </vt:variant>
      <vt:variant>
        <vt:lpwstr/>
      </vt:variant>
      <vt:variant>
        <vt:i4>1310845</vt:i4>
      </vt:variant>
      <vt:variant>
        <vt:i4>36</vt:i4>
      </vt:variant>
      <vt:variant>
        <vt:i4>0</vt:i4>
      </vt:variant>
      <vt:variant>
        <vt:i4>5</vt:i4>
      </vt:variant>
      <vt:variant>
        <vt:lpwstr>http://www.nevo.co.il/Law_word/law70/zava-0148.pdf</vt:lpwstr>
      </vt:variant>
      <vt:variant>
        <vt:lpwstr/>
      </vt:variant>
      <vt:variant>
        <vt:i4>3801092</vt:i4>
      </vt:variant>
      <vt:variant>
        <vt:i4>33</vt:i4>
      </vt:variant>
      <vt:variant>
        <vt:i4>0</vt:i4>
      </vt:variant>
      <vt:variant>
        <vt:i4>5</vt:i4>
      </vt:variant>
      <vt:variant>
        <vt:lpwstr>http://web1.nevo.co.il/Law_word/law70/ZAVA-0138.pdf</vt:lpwstr>
      </vt:variant>
      <vt:variant>
        <vt:lpwstr/>
      </vt:variant>
      <vt:variant>
        <vt:i4>3670031</vt:i4>
      </vt:variant>
      <vt:variant>
        <vt:i4>30</vt:i4>
      </vt:variant>
      <vt:variant>
        <vt:i4>0</vt:i4>
      </vt:variant>
      <vt:variant>
        <vt:i4>5</vt:i4>
      </vt:variant>
      <vt:variant>
        <vt:lpwstr>http://web1.nevo.co.il/Law_word/law70/ZAVA-0210.pdf</vt:lpwstr>
      </vt:variant>
      <vt:variant>
        <vt:lpwstr/>
      </vt:variant>
      <vt:variant>
        <vt:i4>3801092</vt:i4>
      </vt:variant>
      <vt:variant>
        <vt:i4>27</vt:i4>
      </vt:variant>
      <vt:variant>
        <vt:i4>0</vt:i4>
      </vt:variant>
      <vt:variant>
        <vt:i4>5</vt:i4>
      </vt:variant>
      <vt:variant>
        <vt:lpwstr>http://web1.nevo.co.il/Law_word/law70/ZAVA-0138.pdf</vt:lpwstr>
      </vt:variant>
      <vt:variant>
        <vt:lpwstr/>
      </vt:variant>
      <vt:variant>
        <vt:i4>1769596</vt:i4>
      </vt:variant>
      <vt:variant>
        <vt:i4>24</vt:i4>
      </vt:variant>
      <vt:variant>
        <vt:i4>0</vt:i4>
      </vt:variant>
      <vt:variant>
        <vt:i4>5</vt:i4>
      </vt:variant>
      <vt:variant>
        <vt:lpwstr>http://www.nevo.co.il/Law_word/law70/ZAVA-0056.pdf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1769594</vt:i4>
      </vt:variant>
      <vt:variant>
        <vt:i4>15</vt:i4>
      </vt:variant>
      <vt:variant>
        <vt:i4>0</vt:i4>
      </vt:variant>
      <vt:variant>
        <vt:i4>5</vt:i4>
      </vt:variant>
      <vt:variant>
        <vt:lpwstr>http://www.nevo.co.il/Law_word/law70/zava-0234.pdf</vt:lpwstr>
      </vt:variant>
      <vt:variant>
        <vt:lpwstr/>
      </vt:variant>
      <vt:variant>
        <vt:i4>3670031</vt:i4>
      </vt:variant>
      <vt:variant>
        <vt:i4>12</vt:i4>
      </vt:variant>
      <vt:variant>
        <vt:i4>0</vt:i4>
      </vt:variant>
      <vt:variant>
        <vt:i4>5</vt:i4>
      </vt:variant>
      <vt:variant>
        <vt:lpwstr>http://web1.nevo.co.il/Law_word/law70/ZAVA-0210.pdf</vt:lpwstr>
      </vt:variant>
      <vt:variant>
        <vt:lpwstr/>
      </vt:variant>
      <vt:variant>
        <vt:i4>1310845</vt:i4>
      </vt:variant>
      <vt:variant>
        <vt:i4>9</vt:i4>
      </vt:variant>
      <vt:variant>
        <vt:i4>0</vt:i4>
      </vt:variant>
      <vt:variant>
        <vt:i4>5</vt:i4>
      </vt:variant>
      <vt:variant>
        <vt:lpwstr>http://www.nevo.co.il/Law_word/law70/zava-0148.pdf</vt:lpwstr>
      </vt:variant>
      <vt:variant>
        <vt:lpwstr/>
      </vt:variant>
      <vt:variant>
        <vt:i4>3801092</vt:i4>
      </vt:variant>
      <vt:variant>
        <vt:i4>6</vt:i4>
      </vt:variant>
      <vt:variant>
        <vt:i4>0</vt:i4>
      </vt:variant>
      <vt:variant>
        <vt:i4>5</vt:i4>
      </vt:variant>
      <vt:variant>
        <vt:lpwstr>http://web1.nevo.co.il/Law_word/law70/ZAVA-0138.pdf</vt:lpwstr>
      </vt:variant>
      <vt:variant>
        <vt:lpwstr/>
      </vt:variant>
      <vt:variant>
        <vt:i4>1769596</vt:i4>
      </vt:variant>
      <vt:variant>
        <vt:i4>3</vt:i4>
      </vt:variant>
      <vt:variant>
        <vt:i4>0</vt:i4>
      </vt:variant>
      <vt:variant>
        <vt:i4>5</vt:i4>
      </vt:variant>
      <vt:variant>
        <vt:lpwstr>http://www.nevo.co.il/Law_word/law70/ZAVA-0056.pdf</vt:lpwstr>
      </vt:variant>
      <vt:variant>
        <vt:lpwstr/>
      </vt:variant>
      <vt:variant>
        <vt:i4>1704061</vt:i4>
      </vt:variant>
      <vt:variant>
        <vt:i4>0</vt:i4>
      </vt:variant>
      <vt:variant>
        <vt:i4>0</vt:i4>
      </vt:variant>
      <vt:variant>
        <vt:i4>5</vt:i4>
      </vt:variant>
      <vt:variant>
        <vt:lpwstr>http://www.nevo.co.il/Law_word/law70/ZAVA-0047.pdf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סגירת תיקים (יהודה והשומרון) (מס' 841), תש"ם-1980 - מבוטל</vt:lpwstr>
  </property>
  <property fmtid="{D5CDD505-2E9C-101B-9397-08002B2CF9AE}" pid="4" name="LAWNUMBER">
    <vt:lpwstr>0015</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ies>
</file>