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F36" w:rsidRDefault="00547F36">
      <w:pPr>
        <w:pStyle w:val="big-header"/>
        <w:ind w:left="0" w:right="1134"/>
        <w:rPr>
          <w:rFonts w:cs="FrankRuehl" w:hint="cs"/>
          <w:sz w:val="32"/>
          <w:rtl/>
        </w:rPr>
      </w:pPr>
      <w:r>
        <w:rPr>
          <w:rFonts w:cs="FrankRuehl" w:hint="cs"/>
          <w:sz w:val="32"/>
          <w:rtl/>
        </w:rPr>
        <w:t>יהודה והשומרון</w:t>
      </w:r>
    </w:p>
    <w:p w:rsidR="00547F36" w:rsidRDefault="00547F36" w:rsidP="00B128CD">
      <w:pPr>
        <w:pStyle w:val="big-header"/>
        <w:ind w:left="0" w:right="1134"/>
        <w:rPr>
          <w:rFonts w:cs="FrankRuehl" w:hint="cs"/>
          <w:sz w:val="32"/>
          <w:rtl/>
        </w:rPr>
      </w:pPr>
      <w:r>
        <w:rPr>
          <w:rFonts w:cs="FrankRuehl" w:hint="cs"/>
          <w:sz w:val="32"/>
          <w:rtl/>
        </w:rPr>
        <w:t xml:space="preserve">צו בדבר פרשנות </w:t>
      </w:r>
      <w:r w:rsidR="00B128CD">
        <w:rPr>
          <w:rFonts w:cs="FrankRuehl" w:hint="cs"/>
          <w:sz w:val="32"/>
          <w:rtl/>
        </w:rPr>
        <w:t xml:space="preserve">[נוסח משולב] </w:t>
      </w:r>
      <w:r>
        <w:rPr>
          <w:rFonts w:cs="FrankRuehl" w:hint="cs"/>
          <w:sz w:val="32"/>
          <w:rtl/>
        </w:rPr>
        <w:t>(יהודה והשומרון) (מס'</w:t>
      </w:r>
      <w:r w:rsidR="00B128CD">
        <w:rPr>
          <w:rFonts w:cs="FrankRuehl" w:hint="cs"/>
          <w:sz w:val="32"/>
          <w:rtl/>
        </w:rPr>
        <w:t xml:space="preserve"> 1729</w:t>
      </w:r>
      <w:r>
        <w:rPr>
          <w:rFonts w:cs="FrankRuehl" w:hint="cs"/>
          <w:sz w:val="32"/>
          <w:rtl/>
        </w:rPr>
        <w:t>), תש</w:t>
      </w:r>
      <w:r w:rsidR="00B128CD">
        <w:rPr>
          <w:rFonts w:cs="FrankRuehl" w:hint="cs"/>
          <w:sz w:val="32"/>
          <w:rtl/>
        </w:rPr>
        <w:t>ע"ד-2013</w:t>
      </w:r>
    </w:p>
    <w:p w:rsidR="00547F36" w:rsidRDefault="00547F3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p>
        </w:tc>
        <w:tc>
          <w:tcPr>
            <w:tcW w:w="5669" w:type="dxa"/>
          </w:tcPr>
          <w:p w:rsidR="00A61D5B" w:rsidRPr="00A61D5B" w:rsidRDefault="00A61D5B" w:rsidP="00A61D5B">
            <w:pPr>
              <w:rPr>
                <w:rFonts w:cs="Frankruhel" w:hint="cs"/>
                <w:rtl/>
              </w:rPr>
            </w:pPr>
            <w:r>
              <w:rPr>
                <w:rtl/>
              </w:rPr>
              <w:t>פרק א' – הגדרות ועקרונות</w:t>
            </w:r>
          </w:p>
        </w:tc>
        <w:tc>
          <w:tcPr>
            <w:tcW w:w="567" w:type="dxa"/>
          </w:tcPr>
          <w:p w:rsidR="00A61D5B" w:rsidRPr="00A61D5B" w:rsidRDefault="00A61D5B" w:rsidP="00A61D5B">
            <w:pPr>
              <w:rPr>
                <w:rStyle w:val="Hyperlink"/>
                <w:rFonts w:hint="cs"/>
                <w:rtl/>
              </w:rPr>
            </w:pPr>
            <w:hyperlink w:anchor="med0" w:tooltip="פרק א – הגדרות ועקרונו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 </w:t>
            </w:r>
          </w:p>
        </w:tc>
        <w:tc>
          <w:tcPr>
            <w:tcW w:w="5669" w:type="dxa"/>
          </w:tcPr>
          <w:p w:rsidR="00A61D5B" w:rsidRPr="00A61D5B" w:rsidRDefault="00A61D5B" w:rsidP="00A61D5B">
            <w:pPr>
              <w:rPr>
                <w:rFonts w:cs="Frankruhel" w:hint="cs"/>
                <w:rtl/>
              </w:rPr>
            </w:pPr>
            <w:r>
              <w:rPr>
                <w:rtl/>
              </w:rPr>
              <w:t>מלים וניבים</w:t>
            </w:r>
          </w:p>
        </w:tc>
        <w:tc>
          <w:tcPr>
            <w:tcW w:w="567" w:type="dxa"/>
          </w:tcPr>
          <w:p w:rsidR="00A61D5B" w:rsidRPr="00A61D5B" w:rsidRDefault="00A61D5B" w:rsidP="00A61D5B">
            <w:pPr>
              <w:rPr>
                <w:rStyle w:val="Hyperlink"/>
                <w:rFonts w:hint="cs"/>
                <w:rtl/>
              </w:rPr>
            </w:pPr>
            <w:hyperlink w:anchor="Seif1" w:tooltip="מלים וניבים"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1א </w:t>
            </w:r>
          </w:p>
        </w:tc>
        <w:tc>
          <w:tcPr>
            <w:tcW w:w="5669" w:type="dxa"/>
          </w:tcPr>
          <w:p w:rsidR="00A61D5B" w:rsidRPr="00A61D5B" w:rsidRDefault="00A61D5B" w:rsidP="00A61D5B">
            <w:pPr>
              <w:rPr>
                <w:rFonts w:cs="Frankruhel" w:hint="cs"/>
                <w:rtl/>
              </w:rPr>
            </w:pPr>
            <w:r>
              <w:rPr>
                <w:rtl/>
              </w:rPr>
              <w:t>פירוש המונח "אזור יהודה והשומרון"</w:t>
            </w:r>
          </w:p>
        </w:tc>
        <w:tc>
          <w:tcPr>
            <w:tcW w:w="567" w:type="dxa"/>
          </w:tcPr>
          <w:p w:rsidR="00A61D5B" w:rsidRPr="00A61D5B" w:rsidRDefault="00A61D5B" w:rsidP="00A61D5B">
            <w:pPr>
              <w:rPr>
                <w:rStyle w:val="Hyperlink"/>
                <w:rFonts w:hint="cs"/>
                <w:rtl/>
              </w:rPr>
            </w:pPr>
            <w:hyperlink w:anchor="Seif38" w:tooltip="פירוש המונח אזור יהודה והשומרון"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5</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1ב </w:t>
            </w:r>
          </w:p>
        </w:tc>
        <w:tc>
          <w:tcPr>
            <w:tcW w:w="5669" w:type="dxa"/>
          </w:tcPr>
          <w:p w:rsidR="00A61D5B" w:rsidRPr="00A61D5B" w:rsidRDefault="00A61D5B" w:rsidP="00A61D5B">
            <w:pPr>
              <w:rPr>
                <w:rFonts w:cs="Frankruhel" w:hint="cs"/>
                <w:rtl/>
              </w:rPr>
            </w:pPr>
            <w:r>
              <w:rPr>
                <w:rtl/>
              </w:rPr>
              <w:t>שינוי תואר</w:t>
            </w:r>
          </w:p>
        </w:tc>
        <w:tc>
          <w:tcPr>
            <w:tcW w:w="567" w:type="dxa"/>
          </w:tcPr>
          <w:p w:rsidR="00A61D5B" w:rsidRPr="00A61D5B" w:rsidRDefault="00A61D5B" w:rsidP="00A61D5B">
            <w:pPr>
              <w:rPr>
                <w:rStyle w:val="Hyperlink"/>
                <w:rFonts w:hint="cs"/>
                <w:rtl/>
              </w:rPr>
            </w:pPr>
            <w:hyperlink w:anchor="Seif39" w:tooltip="שינוי תואר"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5</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 </w:t>
            </w:r>
          </w:p>
        </w:tc>
        <w:tc>
          <w:tcPr>
            <w:tcW w:w="5669" w:type="dxa"/>
          </w:tcPr>
          <w:p w:rsidR="00A61D5B" w:rsidRPr="00A61D5B" w:rsidRDefault="00A61D5B" w:rsidP="00A61D5B">
            <w:pPr>
              <w:rPr>
                <w:rFonts w:cs="Frankruhel" w:hint="cs"/>
                <w:rtl/>
              </w:rPr>
            </w:pPr>
            <w:r>
              <w:rPr>
                <w:rtl/>
              </w:rPr>
              <w:t>מספר ומין</w:t>
            </w:r>
          </w:p>
        </w:tc>
        <w:tc>
          <w:tcPr>
            <w:tcW w:w="567" w:type="dxa"/>
          </w:tcPr>
          <w:p w:rsidR="00A61D5B" w:rsidRPr="00A61D5B" w:rsidRDefault="00A61D5B" w:rsidP="00A61D5B">
            <w:pPr>
              <w:rPr>
                <w:rStyle w:val="Hyperlink"/>
                <w:rFonts w:hint="cs"/>
                <w:rtl/>
              </w:rPr>
            </w:pPr>
            <w:hyperlink w:anchor="Seif2" w:tooltip="מספר ומין"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3 </w:t>
            </w:r>
          </w:p>
        </w:tc>
        <w:tc>
          <w:tcPr>
            <w:tcW w:w="5669" w:type="dxa"/>
          </w:tcPr>
          <w:p w:rsidR="00A61D5B" w:rsidRPr="00A61D5B" w:rsidRDefault="00A61D5B" w:rsidP="00A61D5B">
            <w:pPr>
              <w:rPr>
                <w:rFonts w:cs="Frankruhel" w:hint="cs"/>
                <w:rtl/>
              </w:rPr>
            </w:pPr>
            <w:r>
              <w:rPr>
                <w:rtl/>
              </w:rPr>
              <w:t>"או", "אחר", "בדרך אחרת"</w:t>
            </w:r>
          </w:p>
        </w:tc>
        <w:tc>
          <w:tcPr>
            <w:tcW w:w="567" w:type="dxa"/>
          </w:tcPr>
          <w:p w:rsidR="00A61D5B" w:rsidRPr="00A61D5B" w:rsidRDefault="00A61D5B" w:rsidP="00A61D5B">
            <w:pPr>
              <w:rPr>
                <w:rStyle w:val="Hyperlink"/>
                <w:rFonts w:hint="cs"/>
                <w:rtl/>
              </w:rPr>
            </w:pPr>
            <w:hyperlink w:anchor="Seif3" w:tooltip="או, אחר, בדרך אחר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3א </w:t>
            </w:r>
          </w:p>
        </w:tc>
        <w:tc>
          <w:tcPr>
            <w:tcW w:w="5669" w:type="dxa"/>
          </w:tcPr>
          <w:p w:rsidR="00A61D5B" w:rsidRPr="00A61D5B" w:rsidRDefault="00A61D5B" w:rsidP="00A61D5B">
            <w:pPr>
              <w:rPr>
                <w:rFonts w:cs="Frankruhel" w:hint="cs"/>
                <w:rtl/>
              </w:rPr>
            </w:pPr>
            <w:r>
              <w:rPr>
                <w:rtl/>
              </w:rPr>
              <w:t>"עד..."</w:t>
            </w:r>
          </w:p>
        </w:tc>
        <w:tc>
          <w:tcPr>
            <w:tcW w:w="567" w:type="dxa"/>
          </w:tcPr>
          <w:p w:rsidR="00A61D5B" w:rsidRPr="00A61D5B" w:rsidRDefault="00A61D5B" w:rsidP="00A61D5B">
            <w:pPr>
              <w:rPr>
                <w:rStyle w:val="Hyperlink"/>
                <w:rFonts w:hint="cs"/>
                <w:rtl/>
              </w:rPr>
            </w:pPr>
            <w:hyperlink w:anchor="Seif29" w:tooltip="עד..."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3ב </w:t>
            </w:r>
          </w:p>
        </w:tc>
        <w:tc>
          <w:tcPr>
            <w:tcW w:w="5669" w:type="dxa"/>
          </w:tcPr>
          <w:p w:rsidR="00A61D5B" w:rsidRPr="00A61D5B" w:rsidRDefault="00A61D5B" w:rsidP="00A61D5B">
            <w:pPr>
              <w:rPr>
                <w:rFonts w:cs="Frankruhel" w:hint="cs"/>
                <w:rtl/>
              </w:rPr>
            </w:pPr>
            <w:r>
              <w:rPr>
                <w:rtl/>
              </w:rPr>
              <w:t>"לפי"</w:t>
            </w:r>
          </w:p>
        </w:tc>
        <w:tc>
          <w:tcPr>
            <w:tcW w:w="567" w:type="dxa"/>
          </w:tcPr>
          <w:p w:rsidR="00A61D5B" w:rsidRPr="00A61D5B" w:rsidRDefault="00A61D5B" w:rsidP="00A61D5B">
            <w:pPr>
              <w:rPr>
                <w:rStyle w:val="Hyperlink"/>
                <w:rFonts w:hint="cs"/>
                <w:rtl/>
              </w:rPr>
            </w:pPr>
            <w:hyperlink w:anchor="Seif30" w:tooltip="לפי"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4 </w:t>
            </w:r>
          </w:p>
        </w:tc>
        <w:tc>
          <w:tcPr>
            <w:tcW w:w="5669" w:type="dxa"/>
          </w:tcPr>
          <w:p w:rsidR="00A61D5B" w:rsidRPr="00A61D5B" w:rsidRDefault="00A61D5B" w:rsidP="00A61D5B">
            <w:pPr>
              <w:rPr>
                <w:rFonts w:cs="Frankruhel" w:hint="cs"/>
                <w:rtl/>
              </w:rPr>
            </w:pPr>
            <w:r>
              <w:rPr>
                <w:rtl/>
              </w:rPr>
              <w:t>חישוב הזמן</w:t>
            </w:r>
          </w:p>
        </w:tc>
        <w:tc>
          <w:tcPr>
            <w:tcW w:w="567" w:type="dxa"/>
          </w:tcPr>
          <w:p w:rsidR="00A61D5B" w:rsidRPr="00A61D5B" w:rsidRDefault="00A61D5B" w:rsidP="00A61D5B">
            <w:pPr>
              <w:rPr>
                <w:rStyle w:val="Hyperlink"/>
                <w:rFonts w:hint="cs"/>
                <w:rtl/>
              </w:rPr>
            </w:pPr>
            <w:hyperlink w:anchor="Seif4" w:tooltip="חישוב הזמן"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5 </w:t>
            </w:r>
          </w:p>
        </w:tc>
        <w:tc>
          <w:tcPr>
            <w:tcW w:w="5669" w:type="dxa"/>
          </w:tcPr>
          <w:p w:rsidR="00A61D5B" w:rsidRPr="00A61D5B" w:rsidRDefault="00A61D5B" w:rsidP="00A61D5B">
            <w:pPr>
              <w:rPr>
                <w:rFonts w:cs="Frankruhel" w:hint="cs"/>
                <w:rtl/>
              </w:rPr>
            </w:pPr>
            <w:r>
              <w:rPr>
                <w:rtl/>
              </w:rPr>
              <w:t>מקום שלא נקבע זמן</w:t>
            </w:r>
          </w:p>
        </w:tc>
        <w:tc>
          <w:tcPr>
            <w:tcW w:w="567" w:type="dxa"/>
          </w:tcPr>
          <w:p w:rsidR="00A61D5B" w:rsidRPr="00A61D5B" w:rsidRDefault="00A61D5B" w:rsidP="00A61D5B">
            <w:pPr>
              <w:rPr>
                <w:rStyle w:val="Hyperlink"/>
                <w:rFonts w:hint="cs"/>
                <w:rtl/>
              </w:rPr>
            </w:pPr>
            <w:hyperlink w:anchor="Seif5" w:tooltip="מקום שלא נקבע זמן"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6 </w:t>
            </w:r>
          </w:p>
        </w:tc>
        <w:tc>
          <w:tcPr>
            <w:tcW w:w="5669" w:type="dxa"/>
          </w:tcPr>
          <w:p w:rsidR="00A61D5B" w:rsidRPr="00A61D5B" w:rsidRDefault="00A61D5B" w:rsidP="00A61D5B">
            <w:pPr>
              <w:rPr>
                <w:rFonts w:cs="Frankruhel" w:hint="cs"/>
                <w:rtl/>
              </w:rPr>
            </w:pPr>
            <w:r>
              <w:rPr>
                <w:rtl/>
              </w:rPr>
              <w:t>מדידת מרחק</w:t>
            </w:r>
          </w:p>
        </w:tc>
        <w:tc>
          <w:tcPr>
            <w:tcW w:w="567" w:type="dxa"/>
          </w:tcPr>
          <w:p w:rsidR="00A61D5B" w:rsidRPr="00A61D5B" w:rsidRDefault="00A61D5B" w:rsidP="00A61D5B">
            <w:pPr>
              <w:rPr>
                <w:rStyle w:val="Hyperlink"/>
                <w:rFonts w:hint="cs"/>
                <w:rtl/>
              </w:rPr>
            </w:pPr>
            <w:hyperlink w:anchor="Seif6" w:tooltip="מדידת מרחק"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7 </w:t>
            </w:r>
          </w:p>
        </w:tc>
        <w:tc>
          <w:tcPr>
            <w:tcW w:w="5669" w:type="dxa"/>
          </w:tcPr>
          <w:p w:rsidR="00A61D5B" w:rsidRPr="00A61D5B" w:rsidRDefault="00A61D5B" w:rsidP="00A61D5B">
            <w:pPr>
              <w:rPr>
                <w:rFonts w:cs="Frankruhel" w:hint="cs"/>
                <w:rtl/>
              </w:rPr>
            </w:pPr>
            <w:r>
              <w:rPr>
                <w:rtl/>
              </w:rPr>
              <w:t>תחולת הגדרות</w:t>
            </w:r>
          </w:p>
        </w:tc>
        <w:tc>
          <w:tcPr>
            <w:tcW w:w="567" w:type="dxa"/>
          </w:tcPr>
          <w:p w:rsidR="00A61D5B" w:rsidRPr="00A61D5B" w:rsidRDefault="00A61D5B" w:rsidP="00A61D5B">
            <w:pPr>
              <w:rPr>
                <w:rStyle w:val="Hyperlink"/>
                <w:rFonts w:hint="cs"/>
                <w:rtl/>
              </w:rPr>
            </w:pPr>
            <w:hyperlink w:anchor="Seif7" w:tooltip="תחולת הגדרו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p>
        </w:tc>
        <w:tc>
          <w:tcPr>
            <w:tcW w:w="5669" w:type="dxa"/>
          </w:tcPr>
          <w:p w:rsidR="00A61D5B" w:rsidRPr="00A61D5B" w:rsidRDefault="00A61D5B" w:rsidP="00A61D5B">
            <w:pPr>
              <w:rPr>
                <w:rFonts w:cs="Frankruhel" w:hint="cs"/>
                <w:rtl/>
              </w:rPr>
            </w:pPr>
            <w:r>
              <w:rPr>
                <w:rtl/>
              </w:rPr>
              <w:t>פרק ב' – עדיפות ותחולה</w:t>
            </w:r>
          </w:p>
        </w:tc>
        <w:tc>
          <w:tcPr>
            <w:tcW w:w="567" w:type="dxa"/>
          </w:tcPr>
          <w:p w:rsidR="00A61D5B" w:rsidRPr="00A61D5B" w:rsidRDefault="00A61D5B" w:rsidP="00A61D5B">
            <w:pPr>
              <w:rPr>
                <w:rStyle w:val="Hyperlink"/>
                <w:rFonts w:hint="cs"/>
                <w:rtl/>
              </w:rPr>
            </w:pPr>
            <w:hyperlink w:anchor="med1" w:tooltip="פרק ב – עדיפות ותחולה"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8 </w:t>
            </w:r>
          </w:p>
        </w:tc>
        <w:tc>
          <w:tcPr>
            <w:tcW w:w="5669" w:type="dxa"/>
          </w:tcPr>
          <w:p w:rsidR="00A61D5B" w:rsidRPr="00A61D5B" w:rsidRDefault="00A61D5B" w:rsidP="00A61D5B">
            <w:pPr>
              <w:rPr>
                <w:rFonts w:cs="Frankruhel" w:hint="cs"/>
                <w:rtl/>
              </w:rPr>
            </w:pPr>
            <w:r>
              <w:rPr>
                <w:rtl/>
              </w:rPr>
              <w:t>עדיפותה של תחיקת בטחון</w:t>
            </w:r>
          </w:p>
        </w:tc>
        <w:tc>
          <w:tcPr>
            <w:tcW w:w="567" w:type="dxa"/>
          </w:tcPr>
          <w:p w:rsidR="00A61D5B" w:rsidRPr="00A61D5B" w:rsidRDefault="00A61D5B" w:rsidP="00A61D5B">
            <w:pPr>
              <w:rPr>
                <w:rStyle w:val="Hyperlink"/>
                <w:rFonts w:hint="cs"/>
                <w:rtl/>
              </w:rPr>
            </w:pPr>
            <w:hyperlink w:anchor="Seif8" w:tooltip="עדיפותה של תחיקת בטחון"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9 </w:t>
            </w:r>
          </w:p>
        </w:tc>
        <w:tc>
          <w:tcPr>
            <w:tcW w:w="5669" w:type="dxa"/>
          </w:tcPr>
          <w:p w:rsidR="00A61D5B" w:rsidRPr="00A61D5B" w:rsidRDefault="00A61D5B" w:rsidP="00A61D5B">
            <w:pPr>
              <w:rPr>
                <w:rFonts w:cs="Frankruhel" w:hint="cs"/>
                <w:rtl/>
              </w:rPr>
            </w:pPr>
            <w:r>
              <w:rPr>
                <w:rtl/>
              </w:rPr>
              <w:t>תחולתה של תחיקת בטחון</w:t>
            </w:r>
          </w:p>
        </w:tc>
        <w:tc>
          <w:tcPr>
            <w:tcW w:w="567" w:type="dxa"/>
          </w:tcPr>
          <w:p w:rsidR="00A61D5B" w:rsidRPr="00A61D5B" w:rsidRDefault="00A61D5B" w:rsidP="00A61D5B">
            <w:pPr>
              <w:rPr>
                <w:rStyle w:val="Hyperlink"/>
                <w:rFonts w:hint="cs"/>
                <w:rtl/>
              </w:rPr>
            </w:pPr>
            <w:hyperlink w:anchor="Seif9" w:tooltip="תחולתה של תחיקת בטחון"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9א </w:t>
            </w:r>
          </w:p>
        </w:tc>
        <w:tc>
          <w:tcPr>
            <w:tcW w:w="5669" w:type="dxa"/>
          </w:tcPr>
          <w:p w:rsidR="00A61D5B" w:rsidRPr="00A61D5B" w:rsidRDefault="00A61D5B" w:rsidP="00A61D5B">
            <w:pPr>
              <w:rPr>
                <w:rFonts w:cs="Frankruhel" w:hint="cs"/>
                <w:rtl/>
              </w:rPr>
            </w:pPr>
            <w:r>
              <w:rPr>
                <w:rtl/>
              </w:rPr>
              <w:t>מתן תוקף</w:t>
            </w:r>
          </w:p>
        </w:tc>
        <w:tc>
          <w:tcPr>
            <w:tcW w:w="567" w:type="dxa"/>
          </w:tcPr>
          <w:p w:rsidR="00A61D5B" w:rsidRPr="00A61D5B" w:rsidRDefault="00A61D5B" w:rsidP="00A61D5B">
            <w:pPr>
              <w:rPr>
                <w:rStyle w:val="Hyperlink"/>
                <w:rFonts w:hint="cs"/>
                <w:rtl/>
              </w:rPr>
            </w:pPr>
            <w:hyperlink w:anchor="Seif28" w:tooltip="מתן תוקף"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9ב </w:t>
            </w:r>
          </w:p>
        </w:tc>
        <w:tc>
          <w:tcPr>
            <w:tcW w:w="5669" w:type="dxa"/>
          </w:tcPr>
          <w:p w:rsidR="00A61D5B" w:rsidRPr="00A61D5B" w:rsidRDefault="00A61D5B" w:rsidP="00A61D5B">
            <w:pPr>
              <w:rPr>
                <w:rFonts w:cs="Frankruhel" w:hint="cs"/>
                <w:rtl/>
              </w:rPr>
            </w:pPr>
            <w:r>
              <w:rPr>
                <w:rtl/>
              </w:rPr>
              <w:t>תחילה</w:t>
            </w:r>
          </w:p>
        </w:tc>
        <w:tc>
          <w:tcPr>
            <w:tcW w:w="567" w:type="dxa"/>
          </w:tcPr>
          <w:p w:rsidR="00A61D5B" w:rsidRPr="00A61D5B" w:rsidRDefault="00A61D5B" w:rsidP="00A61D5B">
            <w:pPr>
              <w:rPr>
                <w:rStyle w:val="Hyperlink"/>
                <w:rFonts w:hint="cs"/>
                <w:rtl/>
              </w:rPr>
            </w:pPr>
            <w:hyperlink w:anchor="Seif31" w:tooltip="תחילה"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9ג </w:t>
            </w:r>
          </w:p>
        </w:tc>
        <w:tc>
          <w:tcPr>
            <w:tcW w:w="5669" w:type="dxa"/>
          </w:tcPr>
          <w:p w:rsidR="00A61D5B" w:rsidRPr="00A61D5B" w:rsidRDefault="00A61D5B" w:rsidP="00A61D5B">
            <w:pPr>
              <w:rPr>
                <w:rFonts w:cs="Frankruhel" w:hint="cs"/>
                <w:rtl/>
              </w:rPr>
            </w:pPr>
            <w:r>
              <w:rPr>
                <w:rtl/>
              </w:rPr>
              <w:t>הדין ותחיקת הבטחון הם כמפורסמות</w:t>
            </w:r>
          </w:p>
        </w:tc>
        <w:tc>
          <w:tcPr>
            <w:tcW w:w="567" w:type="dxa"/>
          </w:tcPr>
          <w:p w:rsidR="00A61D5B" w:rsidRPr="00A61D5B" w:rsidRDefault="00A61D5B" w:rsidP="00A61D5B">
            <w:pPr>
              <w:rPr>
                <w:rStyle w:val="Hyperlink"/>
                <w:rFonts w:hint="cs"/>
                <w:rtl/>
              </w:rPr>
            </w:pPr>
            <w:hyperlink w:anchor="Seif32" w:tooltip="הדין ותחיקת הבטחון הם כמפורסמו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9ד </w:t>
            </w:r>
          </w:p>
        </w:tc>
        <w:tc>
          <w:tcPr>
            <w:tcW w:w="5669" w:type="dxa"/>
          </w:tcPr>
          <w:p w:rsidR="00A61D5B" w:rsidRPr="00A61D5B" w:rsidRDefault="00A61D5B" w:rsidP="00A61D5B">
            <w:pPr>
              <w:rPr>
                <w:rFonts w:cs="Frankruhel" w:hint="cs"/>
                <w:rtl/>
              </w:rPr>
            </w:pPr>
            <w:r>
              <w:rPr>
                <w:rtl/>
              </w:rPr>
              <w:t>חוק נסתר</w:t>
            </w:r>
          </w:p>
        </w:tc>
        <w:tc>
          <w:tcPr>
            <w:tcW w:w="567" w:type="dxa"/>
          </w:tcPr>
          <w:p w:rsidR="00A61D5B" w:rsidRPr="00A61D5B" w:rsidRDefault="00A61D5B" w:rsidP="00A61D5B">
            <w:pPr>
              <w:rPr>
                <w:rStyle w:val="Hyperlink"/>
                <w:rFonts w:hint="cs"/>
                <w:rtl/>
              </w:rPr>
            </w:pPr>
            <w:hyperlink w:anchor="Seif40" w:tooltip="חוק נסתר"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9ה </w:t>
            </w:r>
          </w:p>
        </w:tc>
        <w:tc>
          <w:tcPr>
            <w:tcW w:w="5669" w:type="dxa"/>
          </w:tcPr>
          <w:p w:rsidR="00A61D5B" w:rsidRPr="00A61D5B" w:rsidRDefault="00A61D5B" w:rsidP="00A61D5B">
            <w:pPr>
              <w:rPr>
                <w:rFonts w:cs="Frankruhel" w:hint="cs"/>
                <w:rtl/>
              </w:rPr>
            </w:pPr>
            <w:r>
              <w:rPr>
                <w:rtl/>
              </w:rPr>
              <w:t>תחיקת שעת חירום</w:t>
            </w:r>
          </w:p>
        </w:tc>
        <w:tc>
          <w:tcPr>
            <w:tcW w:w="567" w:type="dxa"/>
          </w:tcPr>
          <w:p w:rsidR="00A61D5B" w:rsidRPr="00A61D5B" w:rsidRDefault="00A61D5B" w:rsidP="00A61D5B">
            <w:pPr>
              <w:rPr>
                <w:rStyle w:val="Hyperlink"/>
                <w:rFonts w:hint="cs"/>
                <w:rtl/>
              </w:rPr>
            </w:pPr>
            <w:hyperlink w:anchor="Seif41" w:tooltip="תחיקת שעת חירום"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p>
        </w:tc>
        <w:tc>
          <w:tcPr>
            <w:tcW w:w="5669" w:type="dxa"/>
          </w:tcPr>
          <w:p w:rsidR="00A61D5B" w:rsidRPr="00A61D5B" w:rsidRDefault="00A61D5B" w:rsidP="00A61D5B">
            <w:pPr>
              <w:rPr>
                <w:rFonts w:cs="Frankruhel" w:hint="cs"/>
                <w:rtl/>
              </w:rPr>
            </w:pPr>
            <w:r>
              <w:rPr>
                <w:rtl/>
              </w:rPr>
              <w:t>פרק ג' – ביטולים</w:t>
            </w:r>
          </w:p>
        </w:tc>
        <w:tc>
          <w:tcPr>
            <w:tcW w:w="567" w:type="dxa"/>
          </w:tcPr>
          <w:p w:rsidR="00A61D5B" w:rsidRPr="00A61D5B" w:rsidRDefault="00A61D5B" w:rsidP="00A61D5B">
            <w:pPr>
              <w:rPr>
                <w:rStyle w:val="Hyperlink"/>
                <w:rFonts w:hint="cs"/>
                <w:rtl/>
              </w:rPr>
            </w:pPr>
            <w:hyperlink w:anchor="med2" w:tooltip="פרק ג – ביטולים"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10 </w:t>
            </w:r>
          </w:p>
        </w:tc>
        <w:tc>
          <w:tcPr>
            <w:tcW w:w="5669" w:type="dxa"/>
          </w:tcPr>
          <w:p w:rsidR="00A61D5B" w:rsidRPr="00A61D5B" w:rsidRDefault="00A61D5B" w:rsidP="00A61D5B">
            <w:pPr>
              <w:rPr>
                <w:rFonts w:cs="Frankruhel" w:hint="cs"/>
                <w:rtl/>
              </w:rPr>
            </w:pPr>
            <w:r>
              <w:rPr>
                <w:rtl/>
              </w:rPr>
              <w:t>סמכות שינוי או ביטול</w:t>
            </w:r>
          </w:p>
        </w:tc>
        <w:tc>
          <w:tcPr>
            <w:tcW w:w="567" w:type="dxa"/>
          </w:tcPr>
          <w:p w:rsidR="00A61D5B" w:rsidRPr="00A61D5B" w:rsidRDefault="00A61D5B" w:rsidP="00A61D5B">
            <w:pPr>
              <w:rPr>
                <w:rStyle w:val="Hyperlink"/>
                <w:rFonts w:hint="cs"/>
                <w:rtl/>
              </w:rPr>
            </w:pPr>
            <w:hyperlink w:anchor="Seif10" w:tooltip="סמכות שינוי או ביטול"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11 </w:t>
            </w:r>
          </w:p>
        </w:tc>
        <w:tc>
          <w:tcPr>
            <w:tcW w:w="5669" w:type="dxa"/>
          </w:tcPr>
          <w:p w:rsidR="00A61D5B" w:rsidRPr="00A61D5B" w:rsidRDefault="00A61D5B" w:rsidP="00A61D5B">
            <w:pPr>
              <w:rPr>
                <w:rFonts w:cs="Frankruhel" w:hint="cs"/>
                <w:rtl/>
              </w:rPr>
            </w:pPr>
            <w:r>
              <w:rPr>
                <w:rtl/>
              </w:rPr>
              <w:t>ביטול של תחיקת בטחון מבטלת</w:t>
            </w:r>
          </w:p>
        </w:tc>
        <w:tc>
          <w:tcPr>
            <w:tcW w:w="567" w:type="dxa"/>
          </w:tcPr>
          <w:p w:rsidR="00A61D5B" w:rsidRPr="00A61D5B" w:rsidRDefault="00A61D5B" w:rsidP="00A61D5B">
            <w:pPr>
              <w:rPr>
                <w:rStyle w:val="Hyperlink"/>
                <w:rFonts w:hint="cs"/>
                <w:rtl/>
              </w:rPr>
            </w:pPr>
            <w:hyperlink w:anchor="Seif11" w:tooltip="ביטול של תחיקת בטחון מבטל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12 </w:t>
            </w:r>
          </w:p>
        </w:tc>
        <w:tc>
          <w:tcPr>
            <w:tcW w:w="5669" w:type="dxa"/>
          </w:tcPr>
          <w:p w:rsidR="00A61D5B" w:rsidRPr="00A61D5B" w:rsidRDefault="00A61D5B" w:rsidP="00A61D5B">
            <w:pPr>
              <w:rPr>
                <w:rFonts w:cs="Frankruhel" w:hint="cs"/>
                <w:rtl/>
              </w:rPr>
            </w:pPr>
            <w:r>
              <w:rPr>
                <w:rtl/>
              </w:rPr>
              <w:t>ביטול ותמורתו</w:t>
            </w:r>
          </w:p>
        </w:tc>
        <w:tc>
          <w:tcPr>
            <w:tcW w:w="567" w:type="dxa"/>
          </w:tcPr>
          <w:p w:rsidR="00A61D5B" w:rsidRPr="00A61D5B" w:rsidRDefault="00A61D5B" w:rsidP="00A61D5B">
            <w:pPr>
              <w:rPr>
                <w:rStyle w:val="Hyperlink"/>
                <w:rFonts w:hint="cs"/>
                <w:rtl/>
              </w:rPr>
            </w:pPr>
            <w:hyperlink w:anchor="Seif12" w:tooltip="ביטול ותמורתו"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13 </w:t>
            </w:r>
          </w:p>
        </w:tc>
        <w:tc>
          <w:tcPr>
            <w:tcW w:w="5669" w:type="dxa"/>
          </w:tcPr>
          <w:p w:rsidR="00A61D5B" w:rsidRPr="00A61D5B" w:rsidRDefault="00A61D5B" w:rsidP="00A61D5B">
            <w:pPr>
              <w:rPr>
                <w:rFonts w:cs="Frankruhel" w:hint="cs"/>
                <w:rtl/>
              </w:rPr>
            </w:pPr>
            <w:r>
              <w:rPr>
                <w:rtl/>
              </w:rPr>
              <w:t>פועלו של ביטול</w:t>
            </w:r>
          </w:p>
        </w:tc>
        <w:tc>
          <w:tcPr>
            <w:tcW w:w="567" w:type="dxa"/>
          </w:tcPr>
          <w:p w:rsidR="00A61D5B" w:rsidRPr="00A61D5B" w:rsidRDefault="00A61D5B" w:rsidP="00A61D5B">
            <w:pPr>
              <w:rPr>
                <w:rStyle w:val="Hyperlink"/>
                <w:rFonts w:hint="cs"/>
                <w:rtl/>
              </w:rPr>
            </w:pPr>
            <w:hyperlink w:anchor="Seif13" w:tooltip="פועלו של ביטול"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13א </w:t>
            </w:r>
          </w:p>
        </w:tc>
        <w:tc>
          <w:tcPr>
            <w:tcW w:w="5669" w:type="dxa"/>
          </w:tcPr>
          <w:p w:rsidR="00A61D5B" w:rsidRPr="00A61D5B" w:rsidRDefault="00A61D5B" w:rsidP="00A61D5B">
            <w:pPr>
              <w:rPr>
                <w:rFonts w:cs="Frankruhel" w:hint="cs"/>
                <w:rtl/>
              </w:rPr>
            </w:pPr>
            <w:r>
              <w:rPr>
                <w:rtl/>
              </w:rPr>
              <w:t>פועלו של ביטול לגבי תקנות ומינויים</w:t>
            </w:r>
          </w:p>
        </w:tc>
        <w:tc>
          <w:tcPr>
            <w:tcW w:w="567" w:type="dxa"/>
          </w:tcPr>
          <w:p w:rsidR="00A61D5B" w:rsidRPr="00A61D5B" w:rsidRDefault="00A61D5B" w:rsidP="00A61D5B">
            <w:pPr>
              <w:rPr>
                <w:rStyle w:val="Hyperlink"/>
                <w:rFonts w:hint="cs"/>
                <w:rtl/>
              </w:rPr>
            </w:pPr>
            <w:hyperlink w:anchor="Seif27" w:tooltip="פועלו של ביטול לגבי תקנות ומינויים"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p>
        </w:tc>
        <w:tc>
          <w:tcPr>
            <w:tcW w:w="5669" w:type="dxa"/>
          </w:tcPr>
          <w:p w:rsidR="00A61D5B" w:rsidRPr="00A61D5B" w:rsidRDefault="00A61D5B" w:rsidP="00A61D5B">
            <w:pPr>
              <w:rPr>
                <w:rFonts w:cs="Frankruhel" w:hint="cs"/>
                <w:rtl/>
              </w:rPr>
            </w:pPr>
            <w:r>
              <w:rPr>
                <w:rtl/>
              </w:rPr>
              <w:t>פרק ד' – סמכויות</w:t>
            </w:r>
          </w:p>
        </w:tc>
        <w:tc>
          <w:tcPr>
            <w:tcW w:w="567" w:type="dxa"/>
          </w:tcPr>
          <w:p w:rsidR="00A61D5B" w:rsidRPr="00A61D5B" w:rsidRDefault="00A61D5B" w:rsidP="00A61D5B">
            <w:pPr>
              <w:rPr>
                <w:rStyle w:val="Hyperlink"/>
                <w:rFonts w:hint="cs"/>
                <w:rtl/>
              </w:rPr>
            </w:pPr>
            <w:hyperlink w:anchor="med3" w:tooltip="פרק ד – סמכויו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8</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14 </w:t>
            </w:r>
          </w:p>
        </w:tc>
        <w:tc>
          <w:tcPr>
            <w:tcW w:w="5669" w:type="dxa"/>
          </w:tcPr>
          <w:p w:rsidR="00A61D5B" w:rsidRPr="00A61D5B" w:rsidRDefault="00A61D5B" w:rsidP="00A61D5B">
            <w:pPr>
              <w:rPr>
                <w:rFonts w:cs="Frankruhel" w:hint="cs"/>
                <w:rtl/>
              </w:rPr>
            </w:pPr>
            <w:r>
              <w:rPr>
                <w:rtl/>
              </w:rPr>
              <w:t>מינוי, מתן סמכות, הטלת חובה, בנקיבת שם, או בנקיבת שם התפקיד או המישרה</w:t>
            </w:r>
          </w:p>
        </w:tc>
        <w:tc>
          <w:tcPr>
            <w:tcW w:w="567" w:type="dxa"/>
          </w:tcPr>
          <w:p w:rsidR="00A61D5B" w:rsidRPr="00A61D5B" w:rsidRDefault="00A61D5B" w:rsidP="00A61D5B">
            <w:pPr>
              <w:rPr>
                <w:rStyle w:val="Hyperlink"/>
                <w:rFonts w:hint="cs"/>
                <w:rtl/>
              </w:rPr>
            </w:pPr>
            <w:hyperlink w:anchor="Seif14" w:tooltip="מינוי, מתן סמכות, הטלת חובה, בנקיבת שם, או בנקיבת שם התפקיד או המישרה"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15 </w:t>
            </w:r>
          </w:p>
        </w:tc>
        <w:tc>
          <w:tcPr>
            <w:tcW w:w="5669" w:type="dxa"/>
          </w:tcPr>
          <w:p w:rsidR="00A61D5B" w:rsidRPr="00A61D5B" w:rsidRDefault="00A61D5B" w:rsidP="00A61D5B">
            <w:pPr>
              <w:rPr>
                <w:rFonts w:cs="Frankruhel" w:hint="cs"/>
                <w:rtl/>
              </w:rPr>
            </w:pPr>
            <w:r>
              <w:rPr>
                <w:rtl/>
              </w:rPr>
              <w:t>המוסמך למנות מוסמך להשעות ולהעביר</w:t>
            </w:r>
          </w:p>
        </w:tc>
        <w:tc>
          <w:tcPr>
            <w:tcW w:w="567" w:type="dxa"/>
          </w:tcPr>
          <w:p w:rsidR="00A61D5B" w:rsidRPr="00A61D5B" w:rsidRDefault="00A61D5B" w:rsidP="00A61D5B">
            <w:pPr>
              <w:rPr>
                <w:rStyle w:val="Hyperlink"/>
                <w:rFonts w:hint="cs"/>
                <w:rtl/>
              </w:rPr>
            </w:pPr>
            <w:hyperlink w:anchor="Seif15" w:tooltip="המוסמך למנות מוסמך להשעות ולהעביר"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15א </w:t>
            </w:r>
          </w:p>
        </w:tc>
        <w:tc>
          <w:tcPr>
            <w:tcW w:w="5669" w:type="dxa"/>
          </w:tcPr>
          <w:p w:rsidR="00A61D5B" w:rsidRPr="00A61D5B" w:rsidRDefault="00A61D5B" w:rsidP="00A61D5B">
            <w:pPr>
              <w:rPr>
                <w:rFonts w:cs="Frankruhel" w:hint="cs"/>
                <w:rtl/>
              </w:rPr>
            </w:pPr>
            <w:r>
              <w:rPr>
                <w:rtl/>
              </w:rPr>
              <w:t>סמכות מינוי גוף</w:t>
            </w:r>
          </w:p>
        </w:tc>
        <w:tc>
          <w:tcPr>
            <w:tcW w:w="567" w:type="dxa"/>
          </w:tcPr>
          <w:p w:rsidR="00A61D5B" w:rsidRPr="00A61D5B" w:rsidRDefault="00A61D5B" w:rsidP="00A61D5B">
            <w:pPr>
              <w:rPr>
                <w:rStyle w:val="Hyperlink"/>
                <w:rFonts w:hint="cs"/>
                <w:rtl/>
              </w:rPr>
            </w:pPr>
            <w:hyperlink w:anchor="Seif33" w:tooltip="סמכות מינוי גוף"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8</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16 </w:t>
            </w:r>
          </w:p>
        </w:tc>
        <w:tc>
          <w:tcPr>
            <w:tcW w:w="5669" w:type="dxa"/>
          </w:tcPr>
          <w:p w:rsidR="00A61D5B" w:rsidRPr="00A61D5B" w:rsidRDefault="00A61D5B" w:rsidP="00A61D5B">
            <w:pPr>
              <w:rPr>
                <w:rFonts w:cs="Frankruhel" w:hint="cs"/>
                <w:rtl/>
              </w:rPr>
            </w:pPr>
            <w:r>
              <w:rPr>
                <w:rtl/>
              </w:rPr>
              <w:t>שימוש בסמכות או במילוי חובה</w:t>
            </w:r>
          </w:p>
        </w:tc>
        <w:tc>
          <w:tcPr>
            <w:tcW w:w="567" w:type="dxa"/>
          </w:tcPr>
          <w:p w:rsidR="00A61D5B" w:rsidRPr="00A61D5B" w:rsidRDefault="00A61D5B" w:rsidP="00A61D5B">
            <w:pPr>
              <w:rPr>
                <w:rStyle w:val="Hyperlink"/>
                <w:rFonts w:hint="cs"/>
                <w:rtl/>
              </w:rPr>
            </w:pPr>
            <w:hyperlink w:anchor="Seif16" w:tooltip="שימוש בסמכות או במילוי חובה"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16א </w:t>
            </w:r>
          </w:p>
        </w:tc>
        <w:tc>
          <w:tcPr>
            <w:tcW w:w="5669" w:type="dxa"/>
          </w:tcPr>
          <w:p w:rsidR="00A61D5B" w:rsidRPr="00A61D5B" w:rsidRDefault="00A61D5B" w:rsidP="00A61D5B">
            <w:pPr>
              <w:rPr>
                <w:rFonts w:cs="Frankruhel" w:hint="cs"/>
                <w:rtl/>
              </w:rPr>
            </w:pPr>
            <w:r>
              <w:rPr>
                <w:rtl/>
              </w:rPr>
              <w:t>סמכות לפטור</w:t>
            </w:r>
          </w:p>
        </w:tc>
        <w:tc>
          <w:tcPr>
            <w:tcW w:w="567" w:type="dxa"/>
          </w:tcPr>
          <w:p w:rsidR="00A61D5B" w:rsidRPr="00A61D5B" w:rsidRDefault="00A61D5B" w:rsidP="00A61D5B">
            <w:pPr>
              <w:rPr>
                <w:rStyle w:val="Hyperlink"/>
                <w:rFonts w:hint="cs"/>
                <w:rtl/>
              </w:rPr>
            </w:pPr>
            <w:hyperlink w:anchor="Seif34" w:tooltip="סמכות לפטור"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8</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16ב </w:t>
            </w:r>
          </w:p>
        </w:tc>
        <w:tc>
          <w:tcPr>
            <w:tcW w:w="5669" w:type="dxa"/>
          </w:tcPr>
          <w:p w:rsidR="00A61D5B" w:rsidRPr="00A61D5B" w:rsidRDefault="00A61D5B" w:rsidP="00A61D5B">
            <w:pPr>
              <w:rPr>
                <w:rFonts w:cs="Frankruhel" w:hint="cs"/>
                <w:rtl/>
              </w:rPr>
            </w:pPr>
            <w:r>
              <w:rPr>
                <w:rtl/>
              </w:rPr>
              <w:t>סמכות בהשגה ובערר</w:t>
            </w:r>
          </w:p>
        </w:tc>
        <w:tc>
          <w:tcPr>
            <w:tcW w:w="567" w:type="dxa"/>
          </w:tcPr>
          <w:p w:rsidR="00A61D5B" w:rsidRPr="00A61D5B" w:rsidRDefault="00A61D5B" w:rsidP="00A61D5B">
            <w:pPr>
              <w:rPr>
                <w:rStyle w:val="Hyperlink"/>
                <w:rFonts w:hint="cs"/>
                <w:rtl/>
              </w:rPr>
            </w:pPr>
            <w:hyperlink w:anchor="Seif35" w:tooltip="סמכות בהשגה ובערר"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8</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17 </w:t>
            </w:r>
          </w:p>
        </w:tc>
        <w:tc>
          <w:tcPr>
            <w:tcW w:w="5669" w:type="dxa"/>
          </w:tcPr>
          <w:p w:rsidR="00A61D5B" w:rsidRPr="00A61D5B" w:rsidRDefault="00A61D5B" w:rsidP="00A61D5B">
            <w:pPr>
              <w:rPr>
                <w:rFonts w:cs="Frankruhel" w:hint="cs"/>
                <w:rtl/>
              </w:rPr>
            </w:pPr>
            <w:r>
              <w:rPr>
                <w:rtl/>
              </w:rPr>
              <w:t>הקניית סמכויות למפקד כוחות צה"ל באזור</w:t>
            </w:r>
          </w:p>
        </w:tc>
        <w:tc>
          <w:tcPr>
            <w:tcW w:w="567" w:type="dxa"/>
          </w:tcPr>
          <w:p w:rsidR="00A61D5B" w:rsidRPr="00A61D5B" w:rsidRDefault="00A61D5B" w:rsidP="00A61D5B">
            <w:pPr>
              <w:rPr>
                <w:rStyle w:val="Hyperlink"/>
                <w:rFonts w:hint="cs"/>
                <w:rtl/>
              </w:rPr>
            </w:pPr>
            <w:hyperlink w:anchor="Seif17" w:tooltip="הקניית סמכויות למפקד כוחות צהל באזור"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18 </w:t>
            </w:r>
          </w:p>
        </w:tc>
        <w:tc>
          <w:tcPr>
            <w:tcW w:w="5669" w:type="dxa"/>
          </w:tcPr>
          <w:p w:rsidR="00A61D5B" w:rsidRPr="00A61D5B" w:rsidRDefault="00A61D5B" w:rsidP="00A61D5B">
            <w:pPr>
              <w:rPr>
                <w:rFonts w:cs="Frankruhel" w:hint="cs"/>
                <w:rtl/>
              </w:rPr>
            </w:pPr>
            <w:r>
              <w:rPr>
                <w:rtl/>
              </w:rPr>
              <w:t>אצילת סמכויות</w:t>
            </w:r>
          </w:p>
        </w:tc>
        <w:tc>
          <w:tcPr>
            <w:tcW w:w="567" w:type="dxa"/>
          </w:tcPr>
          <w:p w:rsidR="00A61D5B" w:rsidRPr="00A61D5B" w:rsidRDefault="00A61D5B" w:rsidP="00A61D5B">
            <w:pPr>
              <w:rPr>
                <w:rStyle w:val="Hyperlink"/>
                <w:rFonts w:hint="cs"/>
                <w:rtl/>
              </w:rPr>
            </w:pPr>
            <w:hyperlink w:anchor="Seif18" w:tooltip="אצילת סמכויו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19 </w:t>
            </w:r>
          </w:p>
        </w:tc>
        <w:tc>
          <w:tcPr>
            <w:tcW w:w="5669" w:type="dxa"/>
          </w:tcPr>
          <w:p w:rsidR="00A61D5B" w:rsidRPr="00A61D5B" w:rsidRDefault="00A61D5B" w:rsidP="00A61D5B">
            <w:pPr>
              <w:rPr>
                <w:rFonts w:cs="Frankruhel" w:hint="cs"/>
                <w:rtl/>
              </w:rPr>
            </w:pPr>
            <w:r>
              <w:rPr>
                <w:rtl/>
              </w:rPr>
              <w:t>פירושו של מתן סמכות</w:t>
            </w:r>
          </w:p>
        </w:tc>
        <w:tc>
          <w:tcPr>
            <w:tcW w:w="567" w:type="dxa"/>
          </w:tcPr>
          <w:p w:rsidR="00A61D5B" w:rsidRPr="00A61D5B" w:rsidRDefault="00A61D5B" w:rsidP="00A61D5B">
            <w:pPr>
              <w:rPr>
                <w:rStyle w:val="Hyperlink"/>
                <w:rFonts w:hint="cs"/>
                <w:rtl/>
              </w:rPr>
            </w:pPr>
            <w:hyperlink w:anchor="Seif19" w:tooltip="פירושו של מתן סמכו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20 </w:t>
            </w:r>
          </w:p>
        </w:tc>
        <w:tc>
          <w:tcPr>
            <w:tcW w:w="5669" w:type="dxa"/>
          </w:tcPr>
          <w:p w:rsidR="00A61D5B" w:rsidRPr="00A61D5B" w:rsidRDefault="00A61D5B" w:rsidP="00A61D5B">
            <w:pPr>
              <w:rPr>
                <w:rFonts w:cs="Frankruhel" w:hint="cs"/>
                <w:rtl/>
              </w:rPr>
            </w:pPr>
            <w:r>
              <w:rPr>
                <w:rtl/>
              </w:rPr>
              <w:t>קביעת תנאים</w:t>
            </w:r>
          </w:p>
        </w:tc>
        <w:tc>
          <w:tcPr>
            <w:tcW w:w="567" w:type="dxa"/>
          </w:tcPr>
          <w:p w:rsidR="00A61D5B" w:rsidRPr="00A61D5B" w:rsidRDefault="00A61D5B" w:rsidP="00A61D5B">
            <w:pPr>
              <w:rPr>
                <w:rStyle w:val="Hyperlink"/>
                <w:rFonts w:hint="cs"/>
                <w:rtl/>
              </w:rPr>
            </w:pPr>
            <w:hyperlink w:anchor="Seif20" w:tooltip="קביעת תנאים"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21 </w:t>
            </w:r>
          </w:p>
        </w:tc>
        <w:tc>
          <w:tcPr>
            <w:tcW w:w="5669" w:type="dxa"/>
          </w:tcPr>
          <w:p w:rsidR="00A61D5B" w:rsidRPr="00A61D5B" w:rsidRDefault="00A61D5B" w:rsidP="00A61D5B">
            <w:pPr>
              <w:rPr>
                <w:rFonts w:cs="Frankruhel" w:hint="cs"/>
                <w:rtl/>
              </w:rPr>
            </w:pPr>
            <w:r>
              <w:rPr>
                <w:rtl/>
              </w:rPr>
              <w:t>סמכות הצגה</w:t>
            </w:r>
          </w:p>
        </w:tc>
        <w:tc>
          <w:tcPr>
            <w:tcW w:w="567" w:type="dxa"/>
          </w:tcPr>
          <w:p w:rsidR="00A61D5B" w:rsidRPr="00A61D5B" w:rsidRDefault="00A61D5B" w:rsidP="00A61D5B">
            <w:pPr>
              <w:rPr>
                <w:rStyle w:val="Hyperlink"/>
                <w:rFonts w:hint="cs"/>
                <w:rtl/>
              </w:rPr>
            </w:pPr>
            <w:hyperlink w:anchor="Seif21" w:tooltip="סמכות הצגה"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22 </w:t>
            </w:r>
          </w:p>
        </w:tc>
        <w:tc>
          <w:tcPr>
            <w:tcW w:w="5669" w:type="dxa"/>
          </w:tcPr>
          <w:p w:rsidR="00A61D5B" w:rsidRPr="00A61D5B" w:rsidRDefault="00A61D5B" w:rsidP="00A61D5B">
            <w:pPr>
              <w:rPr>
                <w:rFonts w:cs="Frankruhel" w:hint="cs"/>
                <w:rtl/>
              </w:rPr>
            </w:pPr>
            <w:r>
              <w:rPr>
                <w:rtl/>
              </w:rPr>
              <w:t>כניסה ושימוש בכוח</w:t>
            </w:r>
          </w:p>
        </w:tc>
        <w:tc>
          <w:tcPr>
            <w:tcW w:w="567" w:type="dxa"/>
          </w:tcPr>
          <w:p w:rsidR="00A61D5B" w:rsidRPr="00A61D5B" w:rsidRDefault="00A61D5B" w:rsidP="00A61D5B">
            <w:pPr>
              <w:rPr>
                <w:rStyle w:val="Hyperlink"/>
                <w:rFonts w:hint="cs"/>
                <w:rtl/>
              </w:rPr>
            </w:pPr>
            <w:hyperlink w:anchor="Seif22" w:tooltip="כניסה ושימוש בכוח"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lastRenderedPageBreak/>
              <w:t xml:space="preserve">סעיף 22א </w:t>
            </w:r>
          </w:p>
        </w:tc>
        <w:tc>
          <w:tcPr>
            <w:tcW w:w="5669" w:type="dxa"/>
          </w:tcPr>
          <w:p w:rsidR="00A61D5B" w:rsidRPr="00A61D5B" w:rsidRDefault="00A61D5B" w:rsidP="00A61D5B">
            <w:pPr>
              <w:rPr>
                <w:rFonts w:cs="Frankruhel" w:hint="cs"/>
                <w:rtl/>
              </w:rPr>
            </w:pPr>
            <w:r>
              <w:rPr>
                <w:rtl/>
              </w:rPr>
              <w:t>שמירת סמכויות וחובות</w:t>
            </w:r>
          </w:p>
        </w:tc>
        <w:tc>
          <w:tcPr>
            <w:tcW w:w="567" w:type="dxa"/>
          </w:tcPr>
          <w:p w:rsidR="00A61D5B" w:rsidRPr="00A61D5B" w:rsidRDefault="00A61D5B" w:rsidP="00A61D5B">
            <w:pPr>
              <w:rPr>
                <w:rStyle w:val="Hyperlink"/>
                <w:rFonts w:hint="cs"/>
                <w:rtl/>
              </w:rPr>
            </w:pPr>
            <w:hyperlink w:anchor="Seif36" w:tooltip="שמירת סמכויות וחובו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p>
        </w:tc>
        <w:tc>
          <w:tcPr>
            <w:tcW w:w="5669" w:type="dxa"/>
          </w:tcPr>
          <w:p w:rsidR="00A61D5B" w:rsidRPr="00A61D5B" w:rsidRDefault="00A61D5B" w:rsidP="00A61D5B">
            <w:pPr>
              <w:rPr>
                <w:rFonts w:cs="Frankruhel" w:hint="cs"/>
                <w:rtl/>
              </w:rPr>
            </w:pPr>
            <w:r>
              <w:rPr>
                <w:rtl/>
              </w:rPr>
              <w:t>פרק ה' – הוראות שונות</w:t>
            </w:r>
          </w:p>
        </w:tc>
        <w:tc>
          <w:tcPr>
            <w:tcW w:w="567" w:type="dxa"/>
          </w:tcPr>
          <w:p w:rsidR="00A61D5B" w:rsidRPr="00A61D5B" w:rsidRDefault="00A61D5B" w:rsidP="00A61D5B">
            <w:pPr>
              <w:rPr>
                <w:rStyle w:val="Hyperlink"/>
                <w:rFonts w:hint="cs"/>
                <w:rtl/>
              </w:rPr>
            </w:pPr>
            <w:hyperlink w:anchor="med4" w:tooltip="פרק ה – הוראות שונות"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23 </w:t>
            </w:r>
          </w:p>
        </w:tc>
        <w:tc>
          <w:tcPr>
            <w:tcW w:w="5669" w:type="dxa"/>
          </w:tcPr>
          <w:p w:rsidR="00A61D5B" w:rsidRPr="00A61D5B" w:rsidRDefault="00A61D5B" w:rsidP="00A61D5B">
            <w:pPr>
              <w:rPr>
                <w:rFonts w:cs="Frankruhel" w:hint="cs"/>
                <w:rtl/>
              </w:rPr>
            </w:pPr>
            <w:r>
              <w:rPr>
                <w:rtl/>
              </w:rPr>
              <w:t>כוחו של הרוב</w:t>
            </w:r>
          </w:p>
        </w:tc>
        <w:tc>
          <w:tcPr>
            <w:tcW w:w="567" w:type="dxa"/>
          </w:tcPr>
          <w:p w:rsidR="00A61D5B" w:rsidRPr="00A61D5B" w:rsidRDefault="00A61D5B" w:rsidP="00A61D5B">
            <w:pPr>
              <w:rPr>
                <w:rStyle w:val="Hyperlink"/>
                <w:rFonts w:hint="cs"/>
                <w:rtl/>
              </w:rPr>
            </w:pPr>
            <w:hyperlink w:anchor="Seif23" w:tooltip="כוחו של הרוב"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24 </w:t>
            </w:r>
          </w:p>
        </w:tc>
        <w:tc>
          <w:tcPr>
            <w:tcW w:w="5669" w:type="dxa"/>
          </w:tcPr>
          <w:p w:rsidR="00A61D5B" w:rsidRPr="00A61D5B" w:rsidRDefault="00A61D5B" w:rsidP="00A61D5B">
            <w:pPr>
              <w:rPr>
                <w:rFonts w:cs="Frankruhel" w:hint="cs"/>
                <w:rtl/>
              </w:rPr>
            </w:pPr>
            <w:r>
              <w:rPr>
                <w:rtl/>
              </w:rPr>
              <w:t>פירוש אזכורים</w:t>
            </w:r>
          </w:p>
        </w:tc>
        <w:tc>
          <w:tcPr>
            <w:tcW w:w="567" w:type="dxa"/>
          </w:tcPr>
          <w:p w:rsidR="00A61D5B" w:rsidRPr="00A61D5B" w:rsidRDefault="00A61D5B" w:rsidP="00A61D5B">
            <w:pPr>
              <w:rPr>
                <w:rStyle w:val="Hyperlink"/>
                <w:rFonts w:hint="cs"/>
                <w:rtl/>
              </w:rPr>
            </w:pPr>
            <w:hyperlink w:anchor="Seif24" w:tooltip="פירוש אזכורים"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24א </w:t>
            </w:r>
          </w:p>
        </w:tc>
        <w:tc>
          <w:tcPr>
            <w:tcW w:w="5669" w:type="dxa"/>
          </w:tcPr>
          <w:p w:rsidR="00A61D5B" w:rsidRPr="00A61D5B" w:rsidRDefault="00A61D5B" w:rsidP="00A61D5B">
            <w:pPr>
              <w:rPr>
                <w:rFonts w:cs="Frankruhel" w:hint="cs"/>
                <w:rtl/>
              </w:rPr>
            </w:pPr>
            <w:r>
              <w:rPr>
                <w:rtl/>
              </w:rPr>
              <w:t>סטייה מטופס</w:t>
            </w:r>
          </w:p>
        </w:tc>
        <w:tc>
          <w:tcPr>
            <w:tcW w:w="567" w:type="dxa"/>
          </w:tcPr>
          <w:p w:rsidR="00A61D5B" w:rsidRPr="00A61D5B" w:rsidRDefault="00A61D5B" w:rsidP="00A61D5B">
            <w:pPr>
              <w:rPr>
                <w:rStyle w:val="Hyperlink"/>
                <w:rFonts w:hint="cs"/>
                <w:rtl/>
              </w:rPr>
            </w:pPr>
            <w:hyperlink w:anchor="Seif37" w:tooltip="סטייה מטופס"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24ב </w:t>
            </w:r>
          </w:p>
        </w:tc>
        <w:tc>
          <w:tcPr>
            <w:tcW w:w="5669" w:type="dxa"/>
          </w:tcPr>
          <w:p w:rsidR="00A61D5B" w:rsidRPr="00A61D5B" w:rsidRDefault="00A61D5B" w:rsidP="00A61D5B">
            <w:pPr>
              <w:rPr>
                <w:rFonts w:cs="Frankruhel" w:hint="cs"/>
                <w:rtl/>
              </w:rPr>
            </w:pPr>
            <w:r>
              <w:rPr>
                <w:rtl/>
              </w:rPr>
              <w:t>פרסום ברבים</w:t>
            </w:r>
          </w:p>
        </w:tc>
        <w:tc>
          <w:tcPr>
            <w:tcW w:w="567" w:type="dxa"/>
          </w:tcPr>
          <w:p w:rsidR="00A61D5B" w:rsidRPr="00A61D5B" w:rsidRDefault="00A61D5B" w:rsidP="00A61D5B">
            <w:pPr>
              <w:rPr>
                <w:rStyle w:val="Hyperlink"/>
                <w:rFonts w:hint="cs"/>
                <w:rtl/>
              </w:rPr>
            </w:pPr>
            <w:hyperlink w:anchor="Seif42" w:tooltip="פרסום ברבים"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9</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25 </w:t>
            </w:r>
          </w:p>
        </w:tc>
        <w:tc>
          <w:tcPr>
            <w:tcW w:w="5669" w:type="dxa"/>
          </w:tcPr>
          <w:p w:rsidR="00A61D5B" w:rsidRPr="00A61D5B" w:rsidRDefault="00A61D5B" w:rsidP="00A61D5B">
            <w:pPr>
              <w:rPr>
                <w:rFonts w:cs="Frankruhel" w:hint="cs"/>
                <w:rtl/>
              </w:rPr>
            </w:pPr>
            <w:r>
              <w:rPr>
                <w:rtl/>
              </w:rPr>
              <w:t>תחילת תוקף</w:t>
            </w:r>
          </w:p>
        </w:tc>
        <w:tc>
          <w:tcPr>
            <w:tcW w:w="567" w:type="dxa"/>
          </w:tcPr>
          <w:p w:rsidR="00A61D5B" w:rsidRPr="00A61D5B" w:rsidRDefault="00A61D5B" w:rsidP="00A61D5B">
            <w:pPr>
              <w:rPr>
                <w:rStyle w:val="Hyperlink"/>
                <w:rFonts w:hint="cs"/>
                <w:rtl/>
              </w:rPr>
            </w:pPr>
            <w:hyperlink w:anchor="Seif25" w:tooltip="תחילת תוקף"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10</w:t>
            </w:r>
            <w:r>
              <w:rPr>
                <w:rFonts w:cs="Frankruhel"/>
                <w:rtl/>
              </w:rPr>
              <w:fldChar w:fldCharType="end"/>
            </w:r>
          </w:p>
        </w:tc>
      </w:tr>
      <w:tr w:rsidR="00A61D5B" w:rsidRPr="00A61D5B" w:rsidTr="00A61D5B">
        <w:tblPrEx>
          <w:tblCellMar>
            <w:top w:w="0" w:type="dxa"/>
            <w:bottom w:w="0" w:type="dxa"/>
          </w:tblCellMar>
        </w:tblPrEx>
        <w:tc>
          <w:tcPr>
            <w:tcW w:w="1247" w:type="dxa"/>
          </w:tcPr>
          <w:p w:rsidR="00A61D5B" w:rsidRPr="00A61D5B" w:rsidRDefault="00A61D5B" w:rsidP="00A61D5B">
            <w:pPr>
              <w:rPr>
                <w:rFonts w:cs="Frankruhel" w:hint="cs"/>
                <w:rtl/>
              </w:rPr>
            </w:pPr>
            <w:r>
              <w:rPr>
                <w:rtl/>
              </w:rPr>
              <w:t xml:space="preserve">סעיף 26 </w:t>
            </w:r>
          </w:p>
        </w:tc>
        <w:tc>
          <w:tcPr>
            <w:tcW w:w="5669" w:type="dxa"/>
          </w:tcPr>
          <w:p w:rsidR="00A61D5B" w:rsidRPr="00A61D5B" w:rsidRDefault="00A61D5B" w:rsidP="00A61D5B">
            <w:pPr>
              <w:rPr>
                <w:rFonts w:cs="Frankruhel" w:hint="cs"/>
                <w:rtl/>
              </w:rPr>
            </w:pPr>
            <w:r>
              <w:rPr>
                <w:rtl/>
              </w:rPr>
              <w:t>תיקונים עקיפים</w:t>
            </w:r>
          </w:p>
        </w:tc>
        <w:tc>
          <w:tcPr>
            <w:tcW w:w="567" w:type="dxa"/>
          </w:tcPr>
          <w:p w:rsidR="00A61D5B" w:rsidRPr="00A61D5B" w:rsidRDefault="00A61D5B" w:rsidP="00A61D5B">
            <w:pPr>
              <w:rPr>
                <w:rStyle w:val="Hyperlink"/>
                <w:rFonts w:hint="cs"/>
                <w:rtl/>
              </w:rPr>
            </w:pPr>
            <w:hyperlink w:anchor="Seif26" w:tooltip="תיקונים עקיפים" w:history="1">
              <w:r w:rsidRPr="00A61D5B">
                <w:rPr>
                  <w:rStyle w:val="Hyperlink"/>
                </w:rPr>
                <w:t>Go</w:t>
              </w:r>
            </w:hyperlink>
          </w:p>
        </w:tc>
        <w:tc>
          <w:tcPr>
            <w:tcW w:w="850" w:type="dxa"/>
          </w:tcPr>
          <w:p w:rsidR="00A61D5B" w:rsidRPr="00A61D5B" w:rsidRDefault="00A61D5B" w:rsidP="00A61D5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10</w:t>
            </w:r>
            <w:r>
              <w:rPr>
                <w:rFonts w:cs="Frankruhel"/>
                <w:rtl/>
              </w:rPr>
              <w:fldChar w:fldCharType="end"/>
            </w:r>
          </w:p>
        </w:tc>
      </w:tr>
    </w:tbl>
    <w:p w:rsidR="00547F36" w:rsidRDefault="00547F36">
      <w:pPr>
        <w:pStyle w:val="big-header"/>
        <w:ind w:left="0" w:right="1134"/>
        <w:rPr>
          <w:rFonts w:cs="FrankRuehl" w:hint="cs"/>
          <w:sz w:val="32"/>
          <w:rtl/>
        </w:rPr>
      </w:pPr>
    </w:p>
    <w:p w:rsidR="00547F36" w:rsidRDefault="00547F36">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547F36" w:rsidRDefault="00B128CD">
      <w:pPr>
        <w:pStyle w:val="big-header"/>
        <w:ind w:left="0" w:right="1134"/>
        <w:rPr>
          <w:rStyle w:val="default"/>
          <w:rFonts w:hint="cs"/>
          <w:sz w:val="22"/>
          <w:szCs w:val="22"/>
          <w:rtl/>
        </w:rPr>
      </w:pPr>
      <w:r>
        <w:rPr>
          <w:rFonts w:cs="FrankRuehl" w:hint="cs"/>
          <w:sz w:val="32"/>
          <w:rtl/>
        </w:rPr>
        <w:t>צו בדבר פרשנות [נוסח משולב] (יהודה והשומרון) (מס' 1729), תשע"ד-2013</w:t>
      </w:r>
      <w:r w:rsidR="00547F36">
        <w:rPr>
          <w:rStyle w:val="default"/>
          <w:sz w:val="22"/>
          <w:szCs w:val="22"/>
          <w:rtl/>
        </w:rPr>
        <w:footnoteReference w:customMarkFollows="1" w:id="1"/>
        <w:t>*</w:t>
      </w:r>
    </w:p>
    <w:p w:rsidR="00547F36" w:rsidRDefault="00547F36">
      <w:pPr>
        <w:pStyle w:val="medium2-header"/>
        <w:keepLines w:val="0"/>
        <w:spacing w:before="72"/>
        <w:ind w:left="0" w:right="1134"/>
        <w:rPr>
          <w:rFonts w:cs="FrankRuehl" w:hint="cs"/>
          <w:noProof/>
          <w:rtl/>
        </w:rPr>
      </w:pPr>
      <w:bookmarkStart w:id="0" w:name="med0"/>
      <w:bookmarkEnd w:id="0"/>
      <w:r>
        <w:rPr>
          <w:rFonts w:cs="FrankRuehl" w:hint="cs"/>
          <w:noProof/>
          <w:rtl/>
        </w:rPr>
        <w:t>פרק א' – הגדרות ועקרונות</w:t>
      </w:r>
    </w:p>
    <w:p w:rsidR="00547F36" w:rsidRDefault="00547F36">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8pt;margin-top:7.1pt;width:71.4pt;height:16.95pt;z-index:251636224" o:allowincell="f" filled="f" stroked="f" strokecolor="lime" strokeweight=".25pt">
            <v:textbox style="mso-next-textbox:#_x0000_s1026" inset="0,0,0,0">
              <w:txbxContent>
                <w:p w:rsidR="00547F36" w:rsidRDefault="00547F36">
                  <w:pPr>
                    <w:spacing w:line="160" w:lineRule="exact"/>
                    <w:rPr>
                      <w:rFonts w:cs="Miriam" w:hint="cs"/>
                      <w:noProof/>
                      <w:sz w:val="18"/>
                      <w:szCs w:val="18"/>
                      <w:rtl/>
                    </w:rPr>
                  </w:pPr>
                  <w:r>
                    <w:rPr>
                      <w:rFonts w:cs="Miriam" w:hint="cs"/>
                      <w:sz w:val="18"/>
                      <w:szCs w:val="18"/>
                      <w:rtl/>
                    </w:rPr>
                    <w:t>מלים וניבים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בתחיקת בטחון יתפרשו כל מלה וניב שבסעיף זה כאמור בצידם להלן, כל עוד לא נאמר אחרת בתחיקת הבטחון וכל עוד אין בגוף הענין, או בהקשר, דבר הסותר אותה משמעות או שאינו מתיישב עמה, וכל שינויי צורה דקדוקיים שלהם וכל ניב כיוצא בהם יתפרשו על דרך זו:</w:t>
      </w:r>
    </w:p>
    <w:p w:rsidR="00547F36" w:rsidRDefault="00547F36" w:rsidP="003F30B4">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"אדם" </w:t>
      </w:r>
      <w:r>
        <w:rPr>
          <w:rStyle w:val="default"/>
          <w:rFonts w:cs="FrankRuehl"/>
          <w:rtl/>
        </w:rPr>
        <w:t>–</w:t>
      </w:r>
      <w:r>
        <w:rPr>
          <w:rStyle w:val="default"/>
          <w:rFonts w:cs="FrankRuehl" w:hint="cs"/>
          <w:rtl/>
        </w:rPr>
        <w:t xml:space="preserve"> לרבות תאגיד, או חבר בני אדם שאינו מא</w:t>
      </w:r>
      <w:r w:rsidR="003F30B4">
        <w:rPr>
          <w:rStyle w:val="default"/>
          <w:rFonts w:cs="FrankRuehl" w:hint="cs"/>
          <w:rtl/>
        </w:rPr>
        <w:t>ו</w:t>
      </w:r>
      <w:r>
        <w:rPr>
          <w:rStyle w:val="default"/>
          <w:rFonts w:cs="FrankRuehl" w:hint="cs"/>
          <w:rtl/>
        </w:rPr>
        <w:t>גד.</w:t>
      </w:r>
    </w:p>
    <w:p w:rsidR="00547F36" w:rsidRDefault="00547F36" w:rsidP="003F30B4">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"אוייב" </w:t>
      </w:r>
      <w:r>
        <w:rPr>
          <w:rStyle w:val="default"/>
          <w:rFonts w:cs="FrankRuehl"/>
          <w:rtl/>
        </w:rPr>
        <w:t>–</w:t>
      </w:r>
      <w:r>
        <w:rPr>
          <w:rStyle w:val="default"/>
          <w:rFonts w:cs="FrankRuehl" w:hint="cs"/>
          <w:rtl/>
        </w:rPr>
        <w:t xml:space="preserve"> לרבות פורעים מזויינים או מורדים מזוינ</w:t>
      </w:r>
      <w:r w:rsidR="003F30B4">
        <w:rPr>
          <w:rStyle w:val="default"/>
          <w:rFonts w:cs="FrankRuehl" w:hint="cs"/>
          <w:rtl/>
        </w:rPr>
        <w:t>י</w:t>
      </w:r>
      <w:r>
        <w:rPr>
          <w:rStyle w:val="default"/>
          <w:rFonts w:cs="FrankRuehl" w:hint="cs"/>
          <w:rtl/>
        </w:rPr>
        <w:t>ים, או כל מי שמשתתף בפעולה מזויינת נגד צה"ל.</w:t>
      </w:r>
    </w:p>
    <w:p w:rsidR="00547F36" w:rsidRDefault="00547F36" w:rsidP="00CE6AE6">
      <w:pPr>
        <w:pStyle w:val="P00"/>
        <w:spacing w:before="72"/>
        <w:ind w:left="1021" w:right="1134" w:hanging="397"/>
        <w:rPr>
          <w:rStyle w:val="default"/>
          <w:rFonts w:cs="FrankRuehl" w:hint="cs"/>
          <w:rtl/>
        </w:rPr>
      </w:pPr>
      <w:r>
        <w:rPr>
          <w:rStyle w:val="default"/>
          <w:rFonts w:cs="FrankRuehl" w:hint="cs"/>
          <w:rtl/>
        </w:rPr>
        <w:t>(2א)</w:t>
      </w:r>
      <w:r>
        <w:rPr>
          <w:rStyle w:val="default"/>
          <w:rFonts w:cs="FrankRuehl" w:hint="cs"/>
          <w:rtl/>
        </w:rPr>
        <w:tab/>
        <w:t xml:space="preserve">אזור </w:t>
      </w:r>
      <w:r>
        <w:rPr>
          <w:rStyle w:val="default"/>
          <w:sz w:val="20"/>
          <w:szCs w:val="20"/>
        </w:rPr>
        <w:t>A</w:t>
      </w:r>
      <w:r>
        <w:rPr>
          <w:rStyle w:val="default"/>
          <w:rFonts w:cs="FrankRuehl" w:hint="cs"/>
          <w:rtl/>
        </w:rPr>
        <w:t xml:space="preserve"> </w:t>
      </w:r>
      <w:r>
        <w:rPr>
          <w:rStyle w:val="default"/>
          <w:rFonts w:cs="FrankRuehl"/>
          <w:rtl/>
        </w:rPr>
        <w:t>–</w:t>
      </w:r>
      <w:r>
        <w:rPr>
          <w:rStyle w:val="default"/>
          <w:rFonts w:cs="FrankRuehl" w:hint="cs"/>
          <w:rtl/>
        </w:rPr>
        <w:t xml:space="preserve"> כהגדרתו בסעיף </w:t>
      </w:r>
      <w:r>
        <w:rPr>
          <w:rStyle w:val="default"/>
          <w:sz w:val="20"/>
          <w:szCs w:val="20"/>
        </w:rPr>
        <w:t>XI</w:t>
      </w:r>
      <w:r>
        <w:rPr>
          <w:rStyle w:val="default"/>
          <w:rFonts w:cs="FrankRuehl" w:hint="cs"/>
          <w:rtl/>
        </w:rPr>
        <w:t xml:space="preserve"> להסכם הביניים.</w:t>
      </w:r>
    </w:p>
    <w:p w:rsidR="00547F36" w:rsidRDefault="00CE6AE6">
      <w:pPr>
        <w:pStyle w:val="P00"/>
        <w:spacing w:before="72"/>
        <w:ind w:left="1021" w:right="1134" w:hanging="397"/>
        <w:rPr>
          <w:rStyle w:val="default"/>
          <w:rFonts w:cs="FrankRuehl" w:hint="cs"/>
          <w:rtl/>
        </w:rPr>
      </w:pPr>
      <w:r>
        <w:rPr>
          <w:rStyle w:val="default"/>
          <w:rFonts w:cs="FrankRuehl" w:hint="cs"/>
          <w:rtl/>
        </w:rPr>
        <w:t>(2ב)</w:t>
      </w:r>
      <w:r>
        <w:rPr>
          <w:rStyle w:val="default"/>
          <w:rFonts w:cs="FrankRuehl" w:hint="cs"/>
          <w:rtl/>
        </w:rPr>
        <w:tab/>
      </w:r>
      <w:r w:rsidR="00547F36">
        <w:rPr>
          <w:rStyle w:val="default"/>
          <w:rFonts w:cs="FrankRuehl" w:hint="cs"/>
          <w:rtl/>
        </w:rPr>
        <w:t xml:space="preserve">אזור </w:t>
      </w:r>
      <w:r w:rsidR="00547F36">
        <w:rPr>
          <w:rStyle w:val="default"/>
          <w:rFonts w:hint="cs"/>
          <w:sz w:val="20"/>
          <w:szCs w:val="20"/>
        </w:rPr>
        <w:t>B</w:t>
      </w:r>
      <w:r w:rsidR="00547F36">
        <w:rPr>
          <w:rStyle w:val="default"/>
          <w:rFonts w:cs="FrankRuehl" w:hint="cs"/>
          <w:rtl/>
        </w:rPr>
        <w:t xml:space="preserve"> </w:t>
      </w:r>
      <w:r w:rsidR="00547F36">
        <w:rPr>
          <w:rStyle w:val="default"/>
          <w:rFonts w:cs="FrankRuehl"/>
          <w:rtl/>
        </w:rPr>
        <w:t>–</w:t>
      </w:r>
      <w:r w:rsidR="00547F36">
        <w:rPr>
          <w:rStyle w:val="default"/>
          <w:rFonts w:cs="FrankRuehl" w:hint="cs"/>
          <w:rtl/>
        </w:rPr>
        <w:t xml:space="preserve"> כהגדרתו בסעיף </w:t>
      </w:r>
      <w:r w:rsidR="00547F36">
        <w:rPr>
          <w:rStyle w:val="default"/>
          <w:sz w:val="20"/>
          <w:szCs w:val="20"/>
        </w:rPr>
        <w:t>XI</w:t>
      </w:r>
      <w:r w:rsidR="00547F36">
        <w:rPr>
          <w:rStyle w:val="default"/>
          <w:rFonts w:cs="FrankRuehl" w:hint="cs"/>
          <w:rtl/>
        </w:rPr>
        <w:t xml:space="preserve"> להסכם הביניים.</w:t>
      </w:r>
    </w:p>
    <w:p w:rsidR="00547F36" w:rsidRDefault="00CE6AE6">
      <w:pPr>
        <w:pStyle w:val="P00"/>
        <w:spacing w:before="72"/>
        <w:ind w:left="1021" w:right="1134" w:hanging="397"/>
        <w:rPr>
          <w:rStyle w:val="default"/>
          <w:rFonts w:cs="FrankRuehl" w:hint="cs"/>
          <w:rtl/>
        </w:rPr>
      </w:pPr>
      <w:r>
        <w:rPr>
          <w:rStyle w:val="default"/>
          <w:rFonts w:cs="FrankRuehl" w:hint="cs"/>
          <w:rtl/>
        </w:rPr>
        <w:t>(2ג)</w:t>
      </w:r>
      <w:r>
        <w:rPr>
          <w:rStyle w:val="default"/>
          <w:rFonts w:cs="FrankRuehl" w:hint="cs"/>
          <w:rtl/>
        </w:rPr>
        <w:tab/>
      </w:r>
      <w:r w:rsidR="00547F36">
        <w:rPr>
          <w:rStyle w:val="default"/>
          <w:rFonts w:cs="FrankRuehl" w:hint="cs"/>
          <w:rtl/>
        </w:rPr>
        <w:t xml:space="preserve">אזור </w:t>
      </w:r>
      <w:r w:rsidR="00547F36">
        <w:rPr>
          <w:rStyle w:val="default"/>
          <w:rFonts w:hint="cs"/>
          <w:sz w:val="20"/>
          <w:szCs w:val="20"/>
        </w:rPr>
        <w:t>C</w:t>
      </w:r>
      <w:r w:rsidR="00547F36">
        <w:rPr>
          <w:rStyle w:val="default"/>
          <w:rFonts w:cs="FrankRuehl" w:hint="cs"/>
          <w:rtl/>
        </w:rPr>
        <w:t xml:space="preserve"> </w:t>
      </w:r>
      <w:r w:rsidR="00547F36">
        <w:rPr>
          <w:rStyle w:val="default"/>
          <w:rFonts w:cs="FrankRuehl"/>
          <w:rtl/>
        </w:rPr>
        <w:t>–</w:t>
      </w:r>
      <w:r w:rsidR="00547F36">
        <w:rPr>
          <w:rStyle w:val="default"/>
          <w:rFonts w:cs="FrankRuehl" w:hint="cs"/>
          <w:rtl/>
        </w:rPr>
        <w:t xml:space="preserve"> כהגדרתו בסעיף </w:t>
      </w:r>
      <w:r w:rsidR="00547F36">
        <w:rPr>
          <w:rStyle w:val="default"/>
          <w:sz w:val="20"/>
          <w:szCs w:val="20"/>
        </w:rPr>
        <w:t>XI</w:t>
      </w:r>
      <w:r w:rsidR="00547F36">
        <w:rPr>
          <w:rStyle w:val="default"/>
          <w:rFonts w:cs="FrankRuehl" w:hint="cs"/>
          <w:rtl/>
        </w:rPr>
        <w:t xml:space="preserve"> להסכם הביניים.</w:t>
      </w:r>
    </w:p>
    <w:p w:rsidR="00547F36" w:rsidRDefault="00547F36">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 xml:space="preserve">"אחראי" </w:t>
      </w:r>
      <w:r>
        <w:rPr>
          <w:rStyle w:val="default"/>
          <w:rFonts w:cs="FrankRuehl"/>
          <w:rtl/>
        </w:rPr>
        <w:t>–</w:t>
      </w:r>
      <w:r>
        <w:rPr>
          <w:rStyle w:val="default"/>
          <w:rFonts w:cs="FrankRuehl" w:hint="cs"/>
          <w:rtl/>
        </w:rPr>
        <w:t xml:space="preserve"> בכלי טיס, בכלי רכב או בכלי שיט </w:t>
      </w:r>
      <w:r>
        <w:rPr>
          <w:rStyle w:val="default"/>
          <w:rFonts w:cs="FrankRuehl"/>
          <w:rtl/>
        </w:rPr>
        <w:t>–</w:t>
      </w:r>
      <w:r>
        <w:rPr>
          <w:rStyle w:val="default"/>
          <w:rFonts w:cs="FrankRuehl" w:hint="cs"/>
          <w:rtl/>
        </w:rPr>
        <w:t xml:space="preserve"> לרבות מי שבידו אותה שעה חזקה או שליטה על כלי כאמור, או מי שממונה עליו אותה שעה.</w:t>
      </w:r>
    </w:p>
    <w:p w:rsidR="00547F36" w:rsidRDefault="00547F36">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 xml:space="preserve">"אניה" </w:t>
      </w:r>
      <w:r>
        <w:rPr>
          <w:rStyle w:val="default"/>
          <w:rFonts w:cs="FrankRuehl"/>
          <w:rtl/>
        </w:rPr>
        <w:t>–</w:t>
      </w:r>
      <w:r>
        <w:rPr>
          <w:rStyle w:val="default"/>
          <w:rFonts w:cs="FrankRuehl" w:hint="cs"/>
          <w:rtl/>
        </w:rPr>
        <w:t xml:space="preserve"> כלי המשמש בשיט ואינו מונע במשוטים בלבד.</w:t>
      </w:r>
    </w:p>
    <w:p w:rsidR="00547F36" w:rsidRDefault="00547F36">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r>
      <w:r w:rsidR="00CE6AE6">
        <w:rPr>
          <w:rStyle w:val="default"/>
          <w:rFonts w:cs="FrankRuehl" w:hint="cs"/>
          <w:rtl/>
        </w:rPr>
        <w:t>"</w:t>
      </w:r>
      <w:r>
        <w:rPr>
          <w:rStyle w:val="default"/>
          <w:rFonts w:cs="FrankRuehl" w:hint="cs"/>
          <w:rtl/>
        </w:rPr>
        <w:t xml:space="preserve">ביטול" </w:t>
      </w:r>
      <w:r>
        <w:rPr>
          <w:rStyle w:val="default"/>
          <w:rFonts w:cs="FrankRuehl"/>
          <w:rtl/>
        </w:rPr>
        <w:t>–</w:t>
      </w:r>
      <w:r>
        <w:rPr>
          <w:rStyle w:val="default"/>
          <w:rFonts w:cs="FrankRuehl" w:hint="cs"/>
          <w:rtl/>
        </w:rPr>
        <w:t xml:space="preserve"> של תחיקת בטחון או של דין, לרבות ביטול של חלק מהם, ולרבות הוראה שעל פיה או מכוחה חדלים הם, או חלק מהם, להיות בני-תוקף.</w:t>
      </w:r>
    </w:p>
    <w:p w:rsidR="00547F36" w:rsidRDefault="00547F36">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 xml:space="preserve">"בית" </w:t>
      </w:r>
      <w:r>
        <w:rPr>
          <w:rStyle w:val="default"/>
          <w:rFonts w:cs="FrankRuehl"/>
          <w:rtl/>
        </w:rPr>
        <w:t>–</w:t>
      </w:r>
      <w:r>
        <w:rPr>
          <w:rStyle w:val="default"/>
          <w:rFonts w:cs="FrankRuehl" w:hint="cs"/>
          <w:rtl/>
        </w:rPr>
        <w:t xml:space="preserve"> לרבות כל מבנה או מקום המשמש, או שנועד לשמש, למגורי אדם, בין מעל לפני הקרקע ובין מתחת לפני הקרקע.</w:t>
      </w:r>
    </w:p>
    <w:p w:rsidR="00547F36" w:rsidRDefault="00547F36" w:rsidP="004A4702">
      <w:pPr>
        <w:pStyle w:val="P00"/>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 xml:space="preserve">"בכתב" </w:t>
      </w:r>
      <w:r>
        <w:rPr>
          <w:rStyle w:val="default"/>
          <w:rFonts w:cs="FrankRuehl"/>
          <w:rtl/>
        </w:rPr>
        <w:t>–</w:t>
      </w:r>
      <w:r>
        <w:rPr>
          <w:rStyle w:val="default"/>
          <w:rFonts w:cs="FrankRuehl" w:hint="cs"/>
          <w:rtl/>
        </w:rPr>
        <w:t xml:space="preserve"> לרבות בכל דרך אחרת של הצגת </w:t>
      </w:r>
      <w:r w:rsidR="004A4702">
        <w:rPr>
          <w:rStyle w:val="default"/>
          <w:rFonts w:cs="FrankRuehl" w:hint="cs"/>
          <w:rtl/>
        </w:rPr>
        <w:t xml:space="preserve">אותיות, </w:t>
      </w:r>
      <w:r>
        <w:rPr>
          <w:rStyle w:val="default"/>
          <w:rFonts w:cs="FrankRuehl" w:hint="cs"/>
          <w:rtl/>
        </w:rPr>
        <w:t xml:space="preserve">ספרות או </w:t>
      </w:r>
      <w:r w:rsidR="004A4702">
        <w:rPr>
          <w:rStyle w:val="default"/>
          <w:rFonts w:cs="FrankRuehl" w:hint="cs"/>
          <w:rtl/>
        </w:rPr>
        <w:t>סימנים בצורה ה</w:t>
      </w:r>
      <w:r>
        <w:rPr>
          <w:rStyle w:val="default"/>
          <w:rFonts w:cs="FrankRuehl" w:hint="cs"/>
          <w:rtl/>
        </w:rPr>
        <w:t>נראית לעין</w:t>
      </w:r>
      <w:r w:rsidR="004A4702">
        <w:rPr>
          <w:rStyle w:val="default"/>
          <w:rFonts w:cs="FrankRuehl" w:hint="cs"/>
          <w:rtl/>
        </w:rPr>
        <w:t xml:space="preserve"> או הניתנת לפענוח חזותי</w:t>
      </w:r>
      <w:r>
        <w:rPr>
          <w:rStyle w:val="default"/>
          <w:rFonts w:cs="FrankRuehl" w:hint="cs"/>
          <w:rtl/>
        </w:rPr>
        <w:t>.</w:t>
      </w:r>
    </w:p>
    <w:p w:rsidR="00547F36" w:rsidRDefault="00547F36">
      <w:pPr>
        <w:pStyle w:val="P00"/>
        <w:spacing w:before="72"/>
        <w:ind w:left="1021" w:right="1134" w:hanging="397"/>
        <w:rPr>
          <w:rStyle w:val="default"/>
          <w:rFonts w:cs="FrankRuehl" w:hint="cs"/>
          <w:rtl/>
        </w:rPr>
      </w:pPr>
      <w:r>
        <w:rPr>
          <w:rStyle w:val="default"/>
          <w:rFonts w:cs="FrankRuehl" w:hint="cs"/>
          <w:rtl/>
        </w:rPr>
        <w:t>(7א)</w:t>
      </w:r>
      <w:r>
        <w:rPr>
          <w:rStyle w:val="default"/>
          <w:rFonts w:cs="FrankRuehl" w:hint="cs"/>
          <w:rtl/>
        </w:rPr>
        <w:tab/>
        <w:t xml:space="preserve">"גיל" </w:t>
      </w:r>
      <w:r>
        <w:rPr>
          <w:rStyle w:val="default"/>
          <w:rFonts w:cs="FrankRuehl"/>
          <w:rtl/>
        </w:rPr>
        <w:t>–</w:t>
      </w:r>
      <w:r>
        <w:rPr>
          <w:rStyle w:val="default"/>
          <w:rFonts w:cs="FrankRuehl" w:hint="cs"/>
          <w:rtl/>
        </w:rPr>
        <w:t xml:space="preserve"> מספר שנותיו וחלקי שנותיו של אדם, לפי הלוח הגר</w:t>
      </w:r>
      <w:r w:rsidR="00D73815">
        <w:rPr>
          <w:rStyle w:val="default"/>
          <w:rFonts w:cs="FrankRuehl" w:hint="cs"/>
          <w:rtl/>
        </w:rPr>
        <w:t>ו</w:t>
      </w:r>
      <w:r>
        <w:rPr>
          <w:rStyle w:val="default"/>
          <w:rFonts w:cs="FrankRuehl" w:hint="cs"/>
          <w:rtl/>
        </w:rPr>
        <w:t xml:space="preserve">גוריאני; אולם, כל עוד לא הוכח היפוכו של דבר </w:t>
      </w:r>
      <w:r>
        <w:rPr>
          <w:rStyle w:val="default"/>
          <w:rFonts w:cs="FrankRuehl"/>
          <w:rtl/>
        </w:rPr>
        <w:t>–</w:t>
      </w:r>
    </w:p>
    <w:p w:rsidR="00547F36" w:rsidRDefault="00547F36">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יראו אדם כמי שנולד בחודש הראשון של השנה שבה נולד;</w:t>
      </w:r>
    </w:p>
    <w:p w:rsidR="00547F36" w:rsidRDefault="00547F36">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יראו אדם כמי שנולד ביום הראשון של החודש שבו נולד.</w:t>
      </w:r>
    </w:p>
    <w:p w:rsidR="00547F36" w:rsidRDefault="00547F36">
      <w:pPr>
        <w:pStyle w:val="P00"/>
        <w:spacing w:before="72"/>
        <w:ind w:left="1021" w:right="1134" w:hanging="397"/>
        <w:rPr>
          <w:rStyle w:val="default"/>
          <w:rFonts w:cs="FrankRuehl" w:hint="cs"/>
          <w:rtl/>
        </w:rPr>
      </w:pPr>
      <w:r>
        <w:rPr>
          <w:rStyle w:val="default"/>
          <w:rFonts w:cs="FrankRuehl" w:hint="cs"/>
          <w:rtl/>
        </w:rPr>
        <w:t>(8)</w:t>
      </w:r>
      <w:r>
        <w:rPr>
          <w:rStyle w:val="default"/>
          <w:rFonts w:cs="FrankRuehl" w:hint="cs"/>
          <w:rtl/>
        </w:rPr>
        <w:tab/>
        <w:t xml:space="preserve">"דין" </w:t>
      </w:r>
      <w:r>
        <w:rPr>
          <w:rStyle w:val="default"/>
          <w:rFonts w:cs="FrankRuehl"/>
          <w:rtl/>
        </w:rPr>
        <w:t>–</w:t>
      </w:r>
      <w:r>
        <w:rPr>
          <w:rStyle w:val="default"/>
          <w:rFonts w:cs="FrankRuehl" w:hint="cs"/>
          <w:rtl/>
        </w:rPr>
        <w:t xml:space="preserve"> מעשה חקיקה של רשות מחוקקת שהיה בר-תוקף באזור ערב היום הקובע; לרבות כל הוראה מכוחו של מעשה חקיקה כאמור ולמעט תחיקת בטחון.</w:t>
      </w:r>
    </w:p>
    <w:p w:rsidR="00547F36" w:rsidRDefault="00547F36">
      <w:pPr>
        <w:pStyle w:val="P00"/>
        <w:spacing w:before="72"/>
        <w:ind w:left="1021" w:right="1134" w:hanging="397"/>
        <w:rPr>
          <w:rStyle w:val="default"/>
          <w:rFonts w:cs="FrankRuehl" w:hint="cs"/>
          <w:rtl/>
        </w:rPr>
      </w:pPr>
      <w:r>
        <w:rPr>
          <w:rStyle w:val="default"/>
          <w:rFonts w:cs="FrankRuehl" w:hint="cs"/>
          <w:rtl/>
        </w:rPr>
        <w:t>(9)</w:t>
      </w:r>
      <w:r>
        <w:rPr>
          <w:rStyle w:val="default"/>
          <w:rFonts w:cs="FrankRuehl" w:hint="cs"/>
          <w:rtl/>
        </w:rPr>
        <w:tab/>
        <w:t xml:space="preserve">"האזור" </w:t>
      </w:r>
      <w:r>
        <w:rPr>
          <w:rStyle w:val="default"/>
          <w:rFonts w:cs="FrankRuehl"/>
          <w:rtl/>
        </w:rPr>
        <w:t>–</w:t>
      </w:r>
      <w:r>
        <w:rPr>
          <w:rStyle w:val="default"/>
          <w:rFonts w:cs="FrankRuehl" w:hint="cs"/>
          <w:rtl/>
        </w:rPr>
        <w:t xml:space="preserve"> אזור הגדה המערבית.</w:t>
      </w:r>
    </w:p>
    <w:p w:rsidR="00547F36" w:rsidRDefault="00547F36">
      <w:pPr>
        <w:pStyle w:val="P00"/>
        <w:spacing w:before="72"/>
        <w:ind w:left="1021" w:right="1134" w:hanging="397"/>
        <w:rPr>
          <w:rStyle w:val="default"/>
          <w:rFonts w:cs="FrankRuehl" w:hint="cs"/>
          <w:rtl/>
        </w:rPr>
      </w:pPr>
      <w:r>
        <w:rPr>
          <w:rStyle w:val="default"/>
          <w:rFonts w:cs="FrankRuehl" w:hint="cs"/>
          <w:rtl/>
        </w:rPr>
        <w:t>(9א)</w:t>
      </w:r>
      <w:r>
        <w:rPr>
          <w:rStyle w:val="default"/>
          <w:rFonts w:cs="FrankRuehl" w:hint="cs"/>
          <w:rtl/>
        </w:rPr>
        <w:tab/>
        <w:t xml:space="preserve">"האתרים הצבאיים" </w:t>
      </w:r>
      <w:r>
        <w:rPr>
          <w:rStyle w:val="default"/>
          <w:rFonts w:cs="FrankRuehl"/>
          <w:rtl/>
        </w:rPr>
        <w:t>–</w:t>
      </w:r>
      <w:r>
        <w:rPr>
          <w:rStyle w:val="default"/>
          <w:rFonts w:cs="FrankRuehl" w:hint="cs"/>
          <w:rtl/>
        </w:rPr>
        <w:t xml:space="preserve"> כמשמעותם בהסכם הביניים.</w:t>
      </w:r>
    </w:p>
    <w:p w:rsidR="00547F36" w:rsidRDefault="00547F36">
      <w:pPr>
        <w:pStyle w:val="P00"/>
        <w:spacing w:before="72"/>
        <w:ind w:left="1021" w:right="1134" w:hanging="397"/>
        <w:rPr>
          <w:rStyle w:val="default"/>
          <w:rFonts w:cs="FrankRuehl" w:hint="cs"/>
          <w:rtl/>
        </w:rPr>
      </w:pPr>
      <w:r>
        <w:rPr>
          <w:rStyle w:val="default"/>
          <w:rFonts w:cs="FrankRuehl" w:hint="cs"/>
          <w:rtl/>
        </w:rPr>
        <w:t>(10)</w:t>
      </w:r>
      <w:r>
        <w:rPr>
          <w:rStyle w:val="default"/>
          <w:rFonts w:cs="FrankRuehl" w:hint="cs"/>
          <w:rtl/>
        </w:rPr>
        <w:tab/>
        <w:t xml:space="preserve">"היום הקובע" </w:t>
      </w:r>
      <w:r>
        <w:rPr>
          <w:rStyle w:val="default"/>
          <w:rFonts w:cs="FrankRuehl"/>
          <w:rtl/>
        </w:rPr>
        <w:t>–</w:t>
      </w:r>
      <w:r>
        <w:rPr>
          <w:rStyle w:val="default"/>
          <w:rFonts w:cs="FrankRuehl" w:hint="cs"/>
          <w:rtl/>
        </w:rPr>
        <w:t xml:space="preserve"> כ"ח באייר תשכ"ז (7 ביוני 1967).</w:t>
      </w:r>
    </w:p>
    <w:p w:rsidR="00547F36" w:rsidRDefault="00547F36">
      <w:pPr>
        <w:pStyle w:val="P00"/>
        <w:spacing w:before="72"/>
        <w:ind w:left="1021" w:right="1134" w:hanging="397"/>
        <w:rPr>
          <w:rStyle w:val="default"/>
          <w:rFonts w:cs="FrankRuehl" w:hint="cs"/>
          <w:rtl/>
        </w:rPr>
      </w:pPr>
      <w:r>
        <w:rPr>
          <w:rStyle w:val="default"/>
          <w:rFonts w:cs="FrankRuehl" w:hint="cs"/>
          <w:rtl/>
        </w:rPr>
        <w:t xml:space="preserve">(10א) "היועץ המשפטי" </w:t>
      </w:r>
      <w:r>
        <w:rPr>
          <w:rStyle w:val="default"/>
          <w:rFonts w:cs="FrankRuehl"/>
          <w:rtl/>
        </w:rPr>
        <w:t>–</w:t>
      </w:r>
      <w:r>
        <w:rPr>
          <w:rStyle w:val="default"/>
          <w:rFonts w:cs="FrankRuehl" w:hint="cs"/>
          <w:rtl/>
        </w:rPr>
        <w:t xml:space="preserve"> קצין שנתמנה על-ידי הפרקליט הצבאי הראשי להיות יועץ משפטי של מפקד האזור או של מפקד צבאי.</w:t>
      </w:r>
    </w:p>
    <w:p w:rsidR="00547F36" w:rsidRDefault="00547F36">
      <w:pPr>
        <w:pStyle w:val="P00"/>
        <w:spacing w:before="72"/>
        <w:ind w:left="1021" w:right="1134" w:hanging="397"/>
        <w:rPr>
          <w:rStyle w:val="default"/>
          <w:rFonts w:cs="FrankRuehl" w:hint="cs"/>
          <w:rtl/>
        </w:rPr>
      </w:pPr>
      <w:r>
        <w:rPr>
          <w:rStyle w:val="default"/>
          <w:rFonts w:cs="FrankRuehl" w:hint="cs"/>
          <w:rtl/>
        </w:rPr>
        <w:t xml:space="preserve">(10ב) "הישובים" </w:t>
      </w:r>
      <w:r>
        <w:rPr>
          <w:rStyle w:val="default"/>
          <w:rFonts w:cs="FrankRuehl"/>
          <w:rtl/>
        </w:rPr>
        <w:t>–</w:t>
      </w:r>
      <w:r>
        <w:rPr>
          <w:rStyle w:val="default"/>
          <w:rFonts w:cs="FrankRuehl" w:hint="cs"/>
          <w:rtl/>
        </w:rPr>
        <w:t xml:space="preserve"> כהגדרתם בסעיף </w:t>
      </w:r>
      <w:r>
        <w:rPr>
          <w:rStyle w:val="default"/>
          <w:rFonts w:cs="FrankRuehl"/>
          <w:sz w:val="20"/>
          <w:szCs w:val="20"/>
        </w:rPr>
        <w:t>XII</w:t>
      </w:r>
      <w:r>
        <w:rPr>
          <w:rStyle w:val="default"/>
          <w:rFonts w:cs="FrankRuehl" w:hint="cs"/>
          <w:rtl/>
        </w:rPr>
        <w:t xml:space="preserve"> להסכם הביניים.</w:t>
      </w:r>
    </w:p>
    <w:p w:rsidR="00547F36" w:rsidRDefault="00547F36">
      <w:pPr>
        <w:pStyle w:val="P00"/>
        <w:spacing w:before="72"/>
        <w:ind w:left="1021" w:right="1134" w:hanging="397"/>
        <w:rPr>
          <w:rStyle w:val="default"/>
          <w:rFonts w:cs="FrankRuehl" w:hint="cs"/>
          <w:rtl/>
        </w:rPr>
      </w:pPr>
      <w:r>
        <w:rPr>
          <w:rStyle w:val="default"/>
          <w:rFonts w:cs="FrankRuehl" w:hint="cs"/>
          <w:rtl/>
        </w:rPr>
        <w:t xml:space="preserve">(10ג) "המועצה הפלסטינית" </w:t>
      </w:r>
      <w:r>
        <w:rPr>
          <w:rStyle w:val="default"/>
          <w:rFonts w:cs="FrankRuehl"/>
          <w:rtl/>
        </w:rPr>
        <w:t>–</w:t>
      </w:r>
      <w:r>
        <w:rPr>
          <w:rStyle w:val="default"/>
          <w:rFonts w:cs="FrankRuehl" w:hint="cs"/>
          <w:rtl/>
        </w:rPr>
        <w:t xml:space="preserve"> המועצה הפלסטינית כמשמעותה בהסכם הביניים, ועד לכינונה </w:t>
      </w:r>
      <w:r>
        <w:rPr>
          <w:rStyle w:val="default"/>
          <w:rFonts w:cs="FrankRuehl"/>
          <w:rtl/>
        </w:rPr>
        <w:t>–</w:t>
      </w:r>
      <w:r>
        <w:rPr>
          <w:rStyle w:val="default"/>
          <w:rFonts w:cs="FrankRuehl" w:hint="cs"/>
          <w:rtl/>
        </w:rPr>
        <w:t xml:space="preserve"> הרשות הפלסטינית כמשמעותה בהסכם זה.</w:t>
      </w:r>
    </w:p>
    <w:p w:rsidR="00547F36" w:rsidRDefault="00547F36" w:rsidP="00EE0B8F">
      <w:pPr>
        <w:pStyle w:val="P00"/>
        <w:spacing w:before="72"/>
        <w:ind w:left="1021" w:right="1134" w:hanging="397"/>
        <w:rPr>
          <w:rStyle w:val="default"/>
          <w:rFonts w:cs="FrankRuehl" w:hint="cs"/>
          <w:rtl/>
        </w:rPr>
      </w:pPr>
      <w:r>
        <w:rPr>
          <w:rStyle w:val="default"/>
          <w:rFonts w:cs="FrankRuehl" w:hint="cs"/>
          <w:rtl/>
        </w:rPr>
        <w:t xml:space="preserve">(10ד) "הסכם הביניים" </w:t>
      </w:r>
      <w:r>
        <w:rPr>
          <w:rStyle w:val="default"/>
          <w:rFonts w:cs="FrankRuehl"/>
          <w:rtl/>
        </w:rPr>
        <w:t>–</w:t>
      </w:r>
      <w:r>
        <w:rPr>
          <w:rStyle w:val="default"/>
          <w:rFonts w:cs="FrankRuehl" w:hint="cs"/>
          <w:rtl/>
        </w:rPr>
        <w:t xml:space="preserve"> הסכם הביניים הישראלי-פלסטיני בדבר הגדה המערבית ורצועת עזה שנחתם בוושינגטון בין מדינת ישראל ובין אש"פ ביום ד' </w:t>
      </w:r>
      <w:r w:rsidR="00EE0B8F">
        <w:rPr>
          <w:rStyle w:val="default"/>
          <w:rFonts w:cs="FrankRuehl" w:hint="cs"/>
          <w:rtl/>
        </w:rPr>
        <w:t>ב</w:t>
      </w:r>
      <w:r>
        <w:rPr>
          <w:rStyle w:val="default"/>
          <w:rFonts w:cs="FrankRuehl" w:hint="cs"/>
          <w:rtl/>
        </w:rPr>
        <w:t xml:space="preserve">תשרי התשנ"ו (28 בספטמבר 1995), כולל נספחיו והמפות המצורפות אליו וכן </w:t>
      </w:r>
      <w:r w:rsidR="00EE0B8F">
        <w:rPr>
          <w:rStyle w:val="default"/>
          <w:rFonts w:cs="FrankRuehl" w:hint="cs"/>
          <w:rtl/>
        </w:rPr>
        <w:t>כ</w:t>
      </w:r>
      <w:r>
        <w:rPr>
          <w:rStyle w:val="default"/>
          <w:rFonts w:cs="FrankRuehl" w:hint="cs"/>
          <w:rtl/>
        </w:rPr>
        <w:t>ל הסכם או הסדר אחר הנובע מהסכם זה או הנעשה ליישומו.</w:t>
      </w:r>
    </w:p>
    <w:p w:rsidR="00547F36" w:rsidRDefault="00547F36" w:rsidP="00D979E9">
      <w:pPr>
        <w:pStyle w:val="P00"/>
        <w:spacing w:before="72"/>
        <w:ind w:left="1021" w:right="1134" w:hanging="397"/>
        <w:rPr>
          <w:rStyle w:val="default"/>
          <w:rFonts w:cs="FrankRuehl" w:hint="cs"/>
          <w:rtl/>
        </w:rPr>
      </w:pPr>
      <w:r>
        <w:rPr>
          <w:rStyle w:val="default"/>
          <w:rFonts w:cs="FrankRuehl" w:hint="cs"/>
          <w:rtl/>
        </w:rPr>
        <w:t>(11)</w:t>
      </w:r>
      <w:r>
        <w:rPr>
          <w:rStyle w:val="default"/>
          <w:rFonts w:cs="FrankRuehl" w:hint="cs"/>
          <w:rtl/>
        </w:rPr>
        <w:tab/>
        <w:t xml:space="preserve">"חזקה" </w:t>
      </w:r>
      <w:r>
        <w:rPr>
          <w:rStyle w:val="default"/>
          <w:rFonts w:cs="FrankRuehl"/>
          <w:rtl/>
        </w:rPr>
        <w:t>–</w:t>
      </w:r>
      <w:r>
        <w:rPr>
          <w:rStyle w:val="default"/>
          <w:rFonts w:cs="FrankRuehl" w:hint="cs"/>
          <w:rtl/>
        </w:rPr>
        <w:t xml:space="preserve"> החזקת דבר על-ידי אדם בפיקוחו או בהשגחתו, וכולל פיקוח על כל דבר הנתון ברשותו של אדם אחר, או פיקוח על דבר הנמצא במקום כלשהו, </w:t>
      </w:r>
      <w:r w:rsidR="00D979E9" w:rsidRPr="00D979E9">
        <w:rPr>
          <w:rStyle w:val="default"/>
          <w:rFonts w:cs="FrankRuehl" w:hint="cs"/>
          <w:rtl/>
        </w:rPr>
        <w:t>בין שהמקום שייך לאותו אדם ובין שהוא תפוס על-ידו ובין שאינו שייך לו או אינו תפוס על-ידו</w:t>
      </w:r>
      <w:r>
        <w:rPr>
          <w:rStyle w:val="default"/>
          <w:rFonts w:cs="FrankRuehl" w:hint="cs"/>
          <w:rtl/>
        </w:rPr>
        <w:t xml:space="preserve">, אולם </w:t>
      </w:r>
      <w:r>
        <w:rPr>
          <w:rStyle w:val="default"/>
          <w:rFonts w:cs="FrankRuehl"/>
          <w:rtl/>
        </w:rPr>
        <w:t>–</w:t>
      </w:r>
    </w:p>
    <w:p w:rsidR="00547F36" w:rsidRDefault="00547F36">
      <w:pPr>
        <w:pStyle w:val="P00"/>
        <w:spacing w:before="72"/>
        <w:ind w:left="1475" w:right="1134" w:hanging="454"/>
        <w:rPr>
          <w:rStyle w:val="default"/>
          <w:rFonts w:cs="FrankRuehl" w:hint="cs"/>
          <w:rtl/>
        </w:rPr>
      </w:pPr>
      <w:r>
        <w:rPr>
          <w:rStyle w:val="default"/>
          <w:rFonts w:cs="FrankRuehl" w:hint="cs"/>
          <w:rtl/>
        </w:rPr>
        <w:t>(אא)</w:t>
      </w:r>
      <w:r>
        <w:rPr>
          <w:rStyle w:val="default"/>
          <w:rFonts w:cs="FrankRuehl" w:hint="cs"/>
          <w:rtl/>
        </w:rPr>
        <w:tab/>
        <w:t>אם היו שני בני-אדם או יותר, ואחד או אחדים מהם מחזיקים באיזה דבר או משגיחים עליו, ייחשב כאילו נמצא הדבר בהשגחתו ובהחזקתו של כל אחד מהם;</w:t>
      </w:r>
    </w:p>
    <w:p w:rsidR="00547F36" w:rsidRDefault="00547F36">
      <w:pPr>
        <w:pStyle w:val="P00"/>
        <w:spacing w:before="72"/>
        <w:ind w:left="1475" w:right="1134" w:hanging="454"/>
        <w:rPr>
          <w:rStyle w:val="default"/>
          <w:rFonts w:cs="FrankRuehl" w:hint="cs"/>
          <w:rtl/>
        </w:rPr>
      </w:pPr>
      <w:r>
        <w:rPr>
          <w:rStyle w:val="default"/>
          <w:rFonts w:cs="FrankRuehl" w:hint="cs"/>
          <w:rtl/>
        </w:rPr>
        <w:t>(בב)</w:t>
      </w:r>
      <w:r>
        <w:rPr>
          <w:rStyle w:val="default"/>
          <w:rFonts w:cs="FrankRuehl" w:hint="cs"/>
          <w:rtl/>
        </w:rPr>
        <w:tab/>
        <w:t>המחזיק במקום שבו נמצא או היה מצוי דבר, יראו אותו כאילו הוא מחזיק או החזיק באותו דבר, כל עוד לא הוכיח את ההיפך.</w:t>
      </w:r>
    </w:p>
    <w:p w:rsidR="00547F36" w:rsidRDefault="00547F36">
      <w:pPr>
        <w:pStyle w:val="P00"/>
        <w:spacing w:before="72"/>
        <w:ind w:left="1021" w:right="1134" w:hanging="397"/>
        <w:rPr>
          <w:rStyle w:val="default"/>
          <w:rFonts w:cs="FrankRuehl" w:hint="cs"/>
          <w:rtl/>
        </w:rPr>
      </w:pPr>
      <w:r>
        <w:rPr>
          <w:rStyle w:val="default"/>
          <w:rFonts w:cs="FrankRuehl" w:hint="cs"/>
          <w:rtl/>
        </w:rPr>
        <w:t>(12)</w:t>
      </w:r>
      <w:r>
        <w:rPr>
          <w:rStyle w:val="default"/>
          <w:rFonts w:cs="FrankRuehl" w:hint="cs"/>
          <w:rtl/>
        </w:rPr>
        <w:tab/>
        <w:t xml:space="preserve">"חייל" </w:t>
      </w:r>
      <w:r>
        <w:rPr>
          <w:rStyle w:val="default"/>
          <w:rFonts w:cs="FrankRuehl"/>
          <w:rtl/>
        </w:rPr>
        <w:t>–</w:t>
      </w:r>
      <w:r>
        <w:rPr>
          <w:rStyle w:val="default"/>
          <w:rFonts w:cs="FrankRuehl" w:hint="cs"/>
          <w:rtl/>
        </w:rPr>
        <w:t xml:space="preserve"> אדם הנמנה עם צה"ל.</w:t>
      </w:r>
    </w:p>
    <w:p w:rsidR="004A4702" w:rsidRDefault="004A4702" w:rsidP="004A4702">
      <w:pPr>
        <w:pStyle w:val="P00"/>
        <w:spacing w:before="72"/>
        <w:ind w:left="1021" w:right="1134" w:hanging="397"/>
        <w:rPr>
          <w:rStyle w:val="default"/>
          <w:rFonts w:cs="FrankRuehl" w:hint="cs"/>
          <w:rtl/>
        </w:rPr>
      </w:pPr>
      <w:r>
        <w:rPr>
          <w:rStyle w:val="default"/>
          <w:rFonts w:cs="FrankRuehl" w:hint="cs"/>
          <w:rtl/>
        </w:rPr>
        <w:t xml:space="preserve">(12א) "חלוט", לענין פסק דין או החלטה של בית משפט </w:t>
      </w:r>
      <w:r>
        <w:rPr>
          <w:rStyle w:val="default"/>
          <w:rFonts w:cs="FrankRuehl"/>
          <w:rtl/>
        </w:rPr>
        <w:t>–</w:t>
      </w:r>
      <w:r>
        <w:rPr>
          <w:rStyle w:val="default"/>
          <w:rFonts w:cs="FrankRuehl" w:hint="cs"/>
          <w:rtl/>
        </w:rPr>
        <w:t xml:space="preserve"> שאין עליהם עוד ערעור או ערר או השגה כיוצא בהם.</w:t>
      </w:r>
    </w:p>
    <w:p w:rsidR="00547F36" w:rsidRDefault="00547F36">
      <w:pPr>
        <w:pStyle w:val="P00"/>
        <w:spacing w:before="72"/>
        <w:ind w:left="1021" w:right="1134" w:hanging="397"/>
        <w:rPr>
          <w:rStyle w:val="default"/>
          <w:rFonts w:cs="FrankRuehl" w:hint="cs"/>
          <w:rtl/>
        </w:rPr>
      </w:pPr>
      <w:r>
        <w:rPr>
          <w:rStyle w:val="default"/>
          <w:rFonts w:cs="FrankRuehl" w:hint="cs"/>
          <w:rtl/>
        </w:rPr>
        <w:t>(13)</w:t>
      </w:r>
      <w:r>
        <w:rPr>
          <w:rStyle w:val="default"/>
          <w:rFonts w:cs="FrankRuehl" w:hint="cs"/>
          <w:rtl/>
        </w:rPr>
        <w:tab/>
        <w:t xml:space="preserve">"חתימה" </w:t>
      </w:r>
      <w:r>
        <w:rPr>
          <w:rStyle w:val="default"/>
          <w:rFonts w:cs="FrankRuehl"/>
          <w:rtl/>
        </w:rPr>
        <w:t>–</w:t>
      </w:r>
      <w:r>
        <w:rPr>
          <w:rStyle w:val="default"/>
          <w:rFonts w:cs="FrankRuehl" w:hint="cs"/>
          <w:rtl/>
        </w:rPr>
        <w:t xml:space="preserve"> באדם שאינו יכול לכתוב את שמו </w:t>
      </w:r>
      <w:r>
        <w:rPr>
          <w:rStyle w:val="default"/>
          <w:rFonts w:cs="FrankRuehl"/>
          <w:rtl/>
        </w:rPr>
        <w:t>–</w:t>
      </w:r>
      <w:r>
        <w:rPr>
          <w:rStyle w:val="default"/>
          <w:rFonts w:cs="FrankRuehl" w:hint="cs"/>
          <w:rtl/>
        </w:rPr>
        <w:t xml:space="preserve"> לרבות טביעת אצבע.</w:t>
      </w:r>
    </w:p>
    <w:p w:rsidR="00547F36" w:rsidRDefault="00547F36">
      <w:pPr>
        <w:pStyle w:val="P00"/>
        <w:spacing w:before="72"/>
        <w:ind w:left="1021" w:right="1134" w:hanging="397"/>
        <w:rPr>
          <w:rStyle w:val="default"/>
          <w:rFonts w:cs="FrankRuehl" w:hint="cs"/>
          <w:rtl/>
        </w:rPr>
      </w:pPr>
      <w:r>
        <w:rPr>
          <w:rStyle w:val="default"/>
          <w:rFonts w:cs="FrankRuehl" w:hint="cs"/>
          <w:rtl/>
        </w:rPr>
        <w:t>(14)</w:t>
      </w:r>
      <w:r>
        <w:rPr>
          <w:rStyle w:val="default"/>
          <w:rFonts w:cs="FrankRuehl" w:hint="cs"/>
          <w:rtl/>
        </w:rPr>
        <w:tab/>
        <w:t xml:space="preserve">"יבוא" </w:t>
      </w:r>
      <w:r>
        <w:rPr>
          <w:rStyle w:val="default"/>
          <w:rFonts w:cs="FrankRuehl"/>
          <w:rtl/>
        </w:rPr>
        <w:t>–</w:t>
      </w:r>
      <w:r>
        <w:rPr>
          <w:rStyle w:val="default"/>
          <w:rFonts w:cs="FrankRuehl" w:hint="cs"/>
          <w:rtl/>
        </w:rPr>
        <w:t xml:space="preserve"> הבאה או גרם הבאה לאזור, ביבשה, בים או באויר.</w:t>
      </w:r>
    </w:p>
    <w:p w:rsidR="00547F36" w:rsidRDefault="00547F36">
      <w:pPr>
        <w:pStyle w:val="P00"/>
        <w:spacing w:before="72"/>
        <w:ind w:left="1021" w:right="1134" w:hanging="397"/>
        <w:rPr>
          <w:rStyle w:val="default"/>
          <w:rFonts w:cs="FrankRuehl" w:hint="cs"/>
          <w:rtl/>
        </w:rPr>
      </w:pPr>
      <w:r>
        <w:rPr>
          <w:rStyle w:val="default"/>
          <w:rFonts w:cs="FrankRuehl" w:hint="cs"/>
          <w:rtl/>
        </w:rPr>
        <w:t xml:space="preserve">(14א) "יום" </w:t>
      </w:r>
      <w:r>
        <w:rPr>
          <w:rStyle w:val="default"/>
          <w:rFonts w:cs="FrankRuehl"/>
          <w:rtl/>
        </w:rPr>
        <w:t>–</w:t>
      </w:r>
      <w:r>
        <w:rPr>
          <w:rStyle w:val="default"/>
          <w:rFonts w:cs="FrankRuehl" w:hint="cs"/>
          <w:rtl/>
        </w:rPr>
        <w:t xml:space="preserve"> תקופה מחצות הלילה עד חצות הלילה שלאחריו.</w:t>
      </w:r>
    </w:p>
    <w:p w:rsidR="00547F36" w:rsidRDefault="00547F36">
      <w:pPr>
        <w:pStyle w:val="P00"/>
        <w:spacing w:before="72"/>
        <w:ind w:left="1021" w:right="1134" w:hanging="397"/>
        <w:rPr>
          <w:rStyle w:val="default"/>
          <w:rFonts w:cs="FrankRuehl" w:hint="cs"/>
          <w:rtl/>
        </w:rPr>
      </w:pPr>
      <w:r>
        <w:rPr>
          <w:rStyle w:val="default"/>
          <w:rFonts w:cs="FrankRuehl" w:hint="cs"/>
          <w:rtl/>
        </w:rPr>
        <w:t>(15)</w:t>
      </w:r>
      <w:r>
        <w:rPr>
          <w:rStyle w:val="default"/>
          <w:rFonts w:cs="FrankRuehl" w:hint="cs"/>
          <w:rtl/>
        </w:rPr>
        <w:tab/>
        <w:t xml:space="preserve">"יצוא" </w:t>
      </w:r>
      <w:r>
        <w:rPr>
          <w:rStyle w:val="default"/>
          <w:rFonts w:cs="FrankRuehl"/>
          <w:rtl/>
        </w:rPr>
        <w:t>–</w:t>
      </w:r>
      <w:r>
        <w:rPr>
          <w:rStyle w:val="default"/>
          <w:rFonts w:cs="FrankRuehl" w:hint="cs"/>
          <w:rtl/>
        </w:rPr>
        <w:t xml:space="preserve"> הוצאה או גרם הוצאה מהאזור, ביבשה, בים או באויר.</w:t>
      </w:r>
    </w:p>
    <w:p w:rsidR="00547F36" w:rsidRDefault="009844B8" w:rsidP="009844B8">
      <w:pPr>
        <w:pStyle w:val="P00"/>
        <w:spacing w:before="72"/>
        <w:ind w:left="1021" w:right="1134" w:hanging="397"/>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323" type="#_x0000_t202" style="position:absolute;left:0;text-align:left;margin-left:463.75pt;margin-top:7.1pt;width:78.6pt;height:18pt;z-index:251679232" filled="f" stroked="f">
            <v:textbox inset="1mm,0,1mm,0">
              <w:txbxContent>
                <w:p w:rsidR="009844B8" w:rsidRDefault="009844B8" w:rsidP="009844B8">
                  <w:pPr>
                    <w:pStyle w:val="a7"/>
                    <w:rPr>
                      <w:rFonts w:hint="cs"/>
                      <w:noProof/>
                      <w:rtl/>
                    </w:rPr>
                  </w:pPr>
                  <w:r>
                    <w:rPr>
                      <w:rFonts w:hint="cs"/>
                      <w:rtl/>
                    </w:rPr>
                    <w:t>תיקון מס' 1 (מס' 1793) תשע"ח-2017</w:t>
                  </w:r>
                </w:p>
              </w:txbxContent>
            </v:textbox>
          </v:shape>
        </w:pict>
      </w:r>
      <w:r>
        <w:rPr>
          <w:rStyle w:val="default"/>
          <w:rFonts w:cs="FrankRuehl" w:hint="cs"/>
          <w:rtl/>
        </w:rPr>
        <w:t>(</w:t>
      </w:r>
      <w:r w:rsidR="00547F36">
        <w:rPr>
          <w:rStyle w:val="default"/>
          <w:rFonts w:cs="FrankRuehl" w:hint="cs"/>
          <w:rtl/>
        </w:rPr>
        <w:t>16)</w:t>
      </w:r>
      <w:r w:rsidR="00547F36">
        <w:rPr>
          <w:rStyle w:val="default"/>
          <w:rFonts w:cs="FrankRuehl" w:hint="cs"/>
          <w:rtl/>
        </w:rPr>
        <w:tab/>
        <w:t xml:space="preserve">"כלי טיס" </w:t>
      </w:r>
      <w:r w:rsidR="00547F36">
        <w:rPr>
          <w:rStyle w:val="default"/>
          <w:rFonts w:cs="FrankRuehl"/>
          <w:rtl/>
        </w:rPr>
        <w:t>–</w:t>
      </w:r>
      <w:r w:rsidR="00547F36">
        <w:rPr>
          <w:rStyle w:val="default"/>
          <w:rFonts w:cs="FrankRuehl" w:hint="cs"/>
          <w:rtl/>
        </w:rPr>
        <w:t xml:space="preserve"> מטוס, הליקופטר, דאון, כדור פורח, מרחפה</w:t>
      </w:r>
      <w:r>
        <w:rPr>
          <w:rStyle w:val="default"/>
          <w:rFonts w:cs="FrankRuehl" w:hint="cs"/>
          <w:rtl/>
        </w:rPr>
        <w:t>, רחפן</w:t>
      </w:r>
      <w:r w:rsidR="00547F36">
        <w:rPr>
          <w:rStyle w:val="default"/>
          <w:rFonts w:cs="FrankRuehl" w:hint="cs"/>
          <w:rtl/>
        </w:rPr>
        <w:t xml:space="preserve"> או כלי אחר העשוי לטוס.</w:t>
      </w:r>
    </w:p>
    <w:p w:rsidR="009844B8" w:rsidRPr="009844B8" w:rsidRDefault="009844B8" w:rsidP="009844B8">
      <w:pPr>
        <w:pStyle w:val="P00"/>
        <w:spacing w:before="0"/>
        <w:ind w:left="1021" w:right="1134" w:hanging="397"/>
        <w:rPr>
          <w:rStyle w:val="default"/>
          <w:rFonts w:cs="FrankRuehl"/>
          <w:vanish/>
          <w:color w:val="FF0000"/>
          <w:sz w:val="20"/>
          <w:szCs w:val="20"/>
          <w:shd w:val="clear" w:color="auto" w:fill="FFFF99"/>
          <w:rtl/>
        </w:rPr>
      </w:pPr>
      <w:bookmarkStart w:id="2" w:name="Rov48"/>
      <w:r w:rsidRPr="009844B8">
        <w:rPr>
          <w:rStyle w:val="default"/>
          <w:rFonts w:cs="FrankRuehl" w:hint="cs"/>
          <w:vanish/>
          <w:color w:val="FF0000"/>
          <w:sz w:val="20"/>
          <w:szCs w:val="20"/>
          <w:shd w:val="clear" w:color="auto" w:fill="FFFF99"/>
          <w:rtl/>
        </w:rPr>
        <w:t>מיום 31.12.2017</w:t>
      </w:r>
    </w:p>
    <w:p w:rsidR="009844B8" w:rsidRPr="009844B8" w:rsidRDefault="009844B8" w:rsidP="009844B8">
      <w:pPr>
        <w:pStyle w:val="P00"/>
        <w:spacing w:before="0"/>
        <w:ind w:left="1021" w:right="1134" w:hanging="397"/>
        <w:rPr>
          <w:rStyle w:val="default"/>
          <w:rFonts w:cs="FrankRuehl"/>
          <w:vanish/>
          <w:sz w:val="20"/>
          <w:szCs w:val="20"/>
          <w:shd w:val="clear" w:color="auto" w:fill="FFFF99"/>
          <w:rtl/>
        </w:rPr>
      </w:pPr>
      <w:r w:rsidRPr="009844B8">
        <w:rPr>
          <w:rStyle w:val="default"/>
          <w:rFonts w:cs="FrankRuehl" w:hint="cs"/>
          <w:b/>
          <w:bCs/>
          <w:vanish/>
          <w:sz w:val="20"/>
          <w:szCs w:val="20"/>
          <w:shd w:val="clear" w:color="auto" w:fill="FFFF99"/>
          <w:rtl/>
        </w:rPr>
        <w:t>תיקון מס' 1 (מס' 1793) תשע"ח-2017</w:t>
      </w:r>
    </w:p>
    <w:p w:rsidR="009844B8" w:rsidRPr="009844B8" w:rsidRDefault="009844B8" w:rsidP="009844B8">
      <w:pPr>
        <w:pStyle w:val="P00"/>
        <w:spacing w:before="0"/>
        <w:ind w:left="1021" w:right="1134" w:hanging="397"/>
        <w:jc w:val="left"/>
        <w:rPr>
          <w:rStyle w:val="default"/>
          <w:rFonts w:cs="FrankRuehl"/>
          <w:vanish/>
          <w:sz w:val="20"/>
          <w:szCs w:val="20"/>
          <w:shd w:val="clear" w:color="auto" w:fill="FFFF99"/>
          <w:rtl/>
        </w:rPr>
      </w:pPr>
      <w:hyperlink r:id="rId7" w:history="1">
        <w:r w:rsidRPr="009844B8">
          <w:rPr>
            <w:rStyle w:val="Hyperlink"/>
            <w:rFonts w:cs="FrankRuehl" w:hint="cs"/>
            <w:vanish/>
            <w:szCs w:val="20"/>
            <w:shd w:val="clear" w:color="auto" w:fill="FFFF99"/>
            <w:rtl/>
          </w:rPr>
          <w:t>קובץ המנשרים מס' 246</w:t>
        </w:r>
      </w:hyperlink>
      <w:r w:rsidRPr="009844B8">
        <w:rPr>
          <w:rStyle w:val="default"/>
          <w:rFonts w:cs="FrankRuehl" w:hint="cs"/>
          <w:vanish/>
          <w:sz w:val="20"/>
          <w:szCs w:val="20"/>
          <w:shd w:val="clear" w:color="auto" w:fill="FFFF99"/>
          <w:rtl/>
        </w:rPr>
        <w:t xml:space="preserve"> מחודש מאי 2018 עמ' 8294</w:t>
      </w:r>
    </w:p>
    <w:p w:rsidR="009844B8" w:rsidRPr="009844B8" w:rsidRDefault="009844B8" w:rsidP="009844B8">
      <w:pPr>
        <w:pStyle w:val="P00"/>
        <w:ind w:left="1021" w:right="1134" w:hanging="397"/>
        <w:rPr>
          <w:rStyle w:val="default"/>
          <w:rFonts w:cs="FrankRuehl"/>
          <w:sz w:val="2"/>
          <w:szCs w:val="2"/>
          <w:rtl/>
        </w:rPr>
      </w:pPr>
      <w:r w:rsidRPr="009844B8">
        <w:rPr>
          <w:rStyle w:val="default"/>
          <w:rFonts w:cs="FrankRuehl" w:hint="cs"/>
          <w:vanish/>
          <w:sz w:val="24"/>
          <w:szCs w:val="24"/>
          <w:shd w:val="clear" w:color="auto" w:fill="FFFF99"/>
          <w:rtl/>
        </w:rPr>
        <w:t>(16)</w:t>
      </w:r>
      <w:r w:rsidRPr="009844B8">
        <w:rPr>
          <w:rStyle w:val="default"/>
          <w:rFonts w:cs="FrankRuehl" w:hint="cs"/>
          <w:vanish/>
          <w:sz w:val="24"/>
          <w:szCs w:val="24"/>
          <w:shd w:val="clear" w:color="auto" w:fill="FFFF99"/>
          <w:rtl/>
        </w:rPr>
        <w:tab/>
        <w:t xml:space="preserve">"כלי טיס" </w:t>
      </w:r>
      <w:r w:rsidRPr="009844B8">
        <w:rPr>
          <w:rStyle w:val="default"/>
          <w:rFonts w:cs="FrankRuehl"/>
          <w:vanish/>
          <w:sz w:val="24"/>
          <w:szCs w:val="24"/>
          <w:shd w:val="clear" w:color="auto" w:fill="FFFF99"/>
          <w:rtl/>
        </w:rPr>
        <w:t>–</w:t>
      </w:r>
      <w:r w:rsidRPr="009844B8">
        <w:rPr>
          <w:rStyle w:val="default"/>
          <w:rFonts w:cs="FrankRuehl" w:hint="cs"/>
          <w:vanish/>
          <w:sz w:val="24"/>
          <w:szCs w:val="24"/>
          <w:shd w:val="clear" w:color="auto" w:fill="FFFF99"/>
          <w:rtl/>
        </w:rPr>
        <w:t xml:space="preserve"> מטוס, הליקופטר, דאון, כדור פורח, מרחפה</w:t>
      </w:r>
      <w:r w:rsidRPr="009844B8">
        <w:rPr>
          <w:rStyle w:val="default"/>
          <w:rFonts w:cs="FrankRuehl" w:hint="cs"/>
          <w:vanish/>
          <w:sz w:val="24"/>
          <w:szCs w:val="24"/>
          <w:u w:val="single"/>
          <w:shd w:val="clear" w:color="auto" w:fill="FFFF99"/>
          <w:rtl/>
        </w:rPr>
        <w:t>, רחפן</w:t>
      </w:r>
      <w:r w:rsidRPr="009844B8">
        <w:rPr>
          <w:rStyle w:val="default"/>
          <w:rFonts w:cs="FrankRuehl" w:hint="cs"/>
          <w:vanish/>
          <w:sz w:val="24"/>
          <w:szCs w:val="24"/>
          <w:shd w:val="clear" w:color="auto" w:fill="FFFF99"/>
          <w:rtl/>
        </w:rPr>
        <w:t xml:space="preserve"> או כלי אחר העשוי לטוס.</w:t>
      </w:r>
      <w:bookmarkEnd w:id="2"/>
    </w:p>
    <w:p w:rsidR="00547F36" w:rsidRDefault="00547F36">
      <w:pPr>
        <w:pStyle w:val="P00"/>
        <w:spacing w:before="72"/>
        <w:ind w:left="1021" w:right="1134" w:hanging="397"/>
        <w:rPr>
          <w:rStyle w:val="default"/>
          <w:rFonts w:cs="FrankRuehl" w:hint="cs"/>
          <w:rtl/>
        </w:rPr>
      </w:pPr>
      <w:r>
        <w:rPr>
          <w:rStyle w:val="default"/>
          <w:rFonts w:cs="FrankRuehl" w:hint="cs"/>
          <w:rtl/>
        </w:rPr>
        <w:t>(17)</w:t>
      </w:r>
      <w:r>
        <w:rPr>
          <w:rStyle w:val="default"/>
          <w:rFonts w:cs="FrankRuehl" w:hint="cs"/>
          <w:rtl/>
        </w:rPr>
        <w:tab/>
        <w:t xml:space="preserve">"כלי רכב" </w:t>
      </w:r>
      <w:r>
        <w:rPr>
          <w:rStyle w:val="default"/>
          <w:rFonts w:cs="FrankRuehl"/>
          <w:rtl/>
        </w:rPr>
        <w:t>–</w:t>
      </w:r>
      <w:r>
        <w:rPr>
          <w:rStyle w:val="default"/>
          <w:rFonts w:cs="FrankRuehl" w:hint="cs"/>
          <w:rtl/>
        </w:rPr>
        <w:t xml:space="preserve"> רכב יבשתי או אמפיבי המונע בכוח מכאני מכל סוג ובכל צורה, או הנגרר על-ידי רכב כאמור, וכן מכונה או מיתקן הנעים או הנגררים כאמור, לרבות אופניים או תלת-אופן; בין שהרכב משמש </w:t>
      </w:r>
      <w:r>
        <w:rPr>
          <w:rStyle w:val="default"/>
          <w:rFonts w:cs="FrankRuehl"/>
          <w:rtl/>
        </w:rPr>
        <w:t>–</w:t>
      </w:r>
      <w:r>
        <w:rPr>
          <w:rStyle w:val="default"/>
          <w:rFonts w:cs="FrankRuehl" w:hint="cs"/>
          <w:rtl/>
        </w:rPr>
        <w:t xml:space="preserve"> או נועד לשמש </w:t>
      </w:r>
      <w:r>
        <w:rPr>
          <w:rStyle w:val="default"/>
          <w:rFonts w:cs="FrankRuehl"/>
          <w:rtl/>
        </w:rPr>
        <w:t>–</w:t>
      </w:r>
      <w:r>
        <w:rPr>
          <w:rStyle w:val="default"/>
          <w:rFonts w:cs="FrankRuehl" w:hint="cs"/>
          <w:rtl/>
        </w:rPr>
        <w:t xml:space="preserve"> להובלת משא או להולכת נוסעים, ובין שהוא משמש </w:t>
      </w:r>
      <w:r>
        <w:rPr>
          <w:rStyle w:val="default"/>
          <w:rFonts w:cs="FrankRuehl"/>
          <w:rtl/>
        </w:rPr>
        <w:t>–</w:t>
      </w:r>
      <w:r>
        <w:rPr>
          <w:rStyle w:val="default"/>
          <w:rFonts w:cs="FrankRuehl" w:hint="cs"/>
          <w:rtl/>
        </w:rPr>
        <w:t xml:space="preserve"> או נועד לשמש </w:t>
      </w:r>
      <w:r>
        <w:rPr>
          <w:rStyle w:val="default"/>
          <w:rFonts w:cs="FrankRuehl"/>
          <w:rtl/>
        </w:rPr>
        <w:t>–</w:t>
      </w:r>
      <w:r>
        <w:rPr>
          <w:rStyle w:val="default"/>
          <w:rFonts w:cs="FrankRuehl" w:hint="cs"/>
          <w:rtl/>
        </w:rPr>
        <w:t xml:space="preserve"> לעבודות חקלאות, לסלילת דרכים או לכל עבודה אחרת; בין שהרכב נע על גלגלים ובין שהוא נע על זחלים.</w:t>
      </w:r>
    </w:p>
    <w:p w:rsidR="00547F36" w:rsidRDefault="00547F36">
      <w:pPr>
        <w:pStyle w:val="P00"/>
        <w:spacing w:before="72"/>
        <w:ind w:left="1021" w:right="1134" w:hanging="397"/>
        <w:rPr>
          <w:rStyle w:val="default"/>
          <w:rFonts w:cs="FrankRuehl" w:hint="cs"/>
          <w:rtl/>
        </w:rPr>
      </w:pPr>
      <w:r>
        <w:rPr>
          <w:rStyle w:val="default"/>
          <w:rFonts w:cs="FrankRuehl" w:hint="cs"/>
          <w:rtl/>
        </w:rPr>
        <w:t>(18)</w:t>
      </w:r>
      <w:r>
        <w:rPr>
          <w:rStyle w:val="default"/>
          <w:rFonts w:cs="FrankRuehl" w:hint="cs"/>
          <w:rtl/>
        </w:rPr>
        <w:tab/>
        <w:t>"כלי שי</w:t>
      </w:r>
      <w:r w:rsidR="00C01702">
        <w:rPr>
          <w:rStyle w:val="default"/>
          <w:rFonts w:cs="FrankRuehl" w:hint="cs"/>
          <w:rtl/>
        </w:rPr>
        <w:t>י</w:t>
      </w:r>
      <w:r>
        <w:rPr>
          <w:rStyle w:val="default"/>
          <w:rFonts w:cs="FrankRuehl" w:hint="cs"/>
          <w:rtl/>
        </w:rPr>
        <w:t xml:space="preserve">ט" </w:t>
      </w:r>
      <w:r>
        <w:rPr>
          <w:rStyle w:val="default"/>
          <w:rFonts w:cs="FrankRuehl"/>
          <w:rtl/>
        </w:rPr>
        <w:t>–</w:t>
      </w:r>
      <w:r>
        <w:rPr>
          <w:rStyle w:val="default"/>
          <w:rFonts w:cs="FrankRuehl" w:hint="cs"/>
          <w:rtl/>
        </w:rPr>
        <w:t xml:space="preserve"> אניה, ספינה, סירה, או כלי אחר העשוי לשוט.</w:t>
      </w:r>
    </w:p>
    <w:p w:rsidR="00547F36" w:rsidRDefault="00547F36">
      <w:pPr>
        <w:pStyle w:val="P00"/>
        <w:spacing w:before="72"/>
        <w:ind w:left="1021" w:right="1134" w:hanging="397"/>
        <w:rPr>
          <w:rStyle w:val="default"/>
          <w:rFonts w:cs="FrankRuehl" w:hint="cs"/>
          <w:rtl/>
        </w:rPr>
      </w:pPr>
      <w:r>
        <w:rPr>
          <w:rStyle w:val="default"/>
          <w:rFonts w:cs="FrankRuehl" w:hint="cs"/>
          <w:rtl/>
        </w:rPr>
        <w:t>(19)</w:t>
      </w:r>
      <w:r>
        <w:rPr>
          <w:rStyle w:val="default"/>
          <w:rFonts w:cs="FrankRuehl" w:hint="cs"/>
          <w:rtl/>
        </w:rPr>
        <w:tab/>
        <w:t xml:space="preserve">"מטלטלין" או "טובין" </w:t>
      </w:r>
      <w:r>
        <w:rPr>
          <w:rStyle w:val="default"/>
          <w:rFonts w:cs="FrankRuehl"/>
          <w:rtl/>
        </w:rPr>
        <w:t>–</w:t>
      </w:r>
      <w:r>
        <w:rPr>
          <w:rStyle w:val="default"/>
          <w:rFonts w:cs="FrankRuehl" w:hint="cs"/>
          <w:rtl/>
        </w:rPr>
        <w:t xml:space="preserve"> כל נכס למינהו, לרבות כל חזקה, זכות או טובת הנאה בו, ולמעט מקרקעין.</w:t>
      </w:r>
    </w:p>
    <w:p w:rsidR="00547F36" w:rsidRDefault="00547F36">
      <w:pPr>
        <w:pStyle w:val="P00"/>
        <w:spacing w:before="72"/>
        <w:ind w:left="1021" w:right="1134" w:hanging="397"/>
        <w:rPr>
          <w:rStyle w:val="default"/>
          <w:rFonts w:cs="FrankRuehl" w:hint="cs"/>
          <w:rtl/>
        </w:rPr>
      </w:pPr>
      <w:r>
        <w:rPr>
          <w:rStyle w:val="default"/>
          <w:rFonts w:cs="FrankRuehl" w:hint="cs"/>
          <w:rtl/>
        </w:rPr>
        <w:t>(20)</w:t>
      </w:r>
      <w:r>
        <w:rPr>
          <w:rStyle w:val="default"/>
          <w:rFonts w:cs="FrankRuehl" w:hint="cs"/>
          <w:rtl/>
        </w:rPr>
        <w:tab/>
        <w:t xml:space="preserve">"מכר" </w:t>
      </w:r>
      <w:r>
        <w:rPr>
          <w:rStyle w:val="default"/>
          <w:rFonts w:cs="FrankRuehl"/>
          <w:rtl/>
        </w:rPr>
        <w:t>–</w:t>
      </w:r>
      <w:r>
        <w:rPr>
          <w:rStyle w:val="default"/>
          <w:rFonts w:cs="FrankRuehl" w:hint="cs"/>
          <w:rtl/>
        </w:rPr>
        <w:t xml:space="preserve"> לרבות חליפין, מיר, הצעה למכירה או הצגה למכירה.</w:t>
      </w:r>
    </w:p>
    <w:p w:rsidR="00547F36" w:rsidRDefault="00547F36">
      <w:pPr>
        <w:pStyle w:val="P00"/>
        <w:spacing w:before="72"/>
        <w:ind w:left="1021" w:right="1134" w:hanging="397"/>
        <w:rPr>
          <w:rStyle w:val="default"/>
          <w:rFonts w:cs="FrankRuehl" w:hint="cs"/>
          <w:rtl/>
        </w:rPr>
      </w:pPr>
      <w:r>
        <w:rPr>
          <w:rStyle w:val="default"/>
          <w:rFonts w:cs="FrankRuehl" w:hint="cs"/>
          <w:rtl/>
        </w:rPr>
        <w:t>(21)</w:t>
      </w:r>
      <w:r>
        <w:rPr>
          <w:rStyle w:val="default"/>
          <w:rFonts w:cs="FrankRuehl" w:hint="cs"/>
          <w:rtl/>
        </w:rPr>
        <w:tab/>
        <w:t xml:space="preserve">"מפקד צבאי" </w:t>
      </w:r>
      <w:r>
        <w:rPr>
          <w:rStyle w:val="default"/>
          <w:rFonts w:cs="FrankRuehl"/>
          <w:rtl/>
        </w:rPr>
        <w:t>–</w:t>
      </w:r>
      <w:r>
        <w:rPr>
          <w:rStyle w:val="default"/>
          <w:rFonts w:cs="FrankRuehl" w:hint="cs"/>
          <w:rtl/>
        </w:rPr>
        <w:t xml:space="preserve"> כמשמעותו בצו בדבר הוראות בטחון, ולרבות מי שהוקנו לו סמכויות של מפקד צבאי לפי הצו האמור.</w:t>
      </w:r>
    </w:p>
    <w:p w:rsidR="00547F36" w:rsidRDefault="00547F36">
      <w:pPr>
        <w:pStyle w:val="P00"/>
        <w:spacing w:before="72"/>
        <w:ind w:left="1021" w:right="1134" w:hanging="397"/>
        <w:rPr>
          <w:rStyle w:val="default"/>
          <w:rFonts w:cs="FrankRuehl" w:hint="cs"/>
          <w:rtl/>
        </w:rPr>
      </w:pPr>
      <w:r>
        <w:rPr>
          <w:rStyle w:val="default"/>
          <w:rFonts w:cs="FrankRuehl" w:hint="cs"/>
          <w:rtl/>
        </w:rPr>
        <w:t>(22)</w:t>
      </w:r>
      <w:r>
        <w:rPr>
          <w:rStyle w:val="default"/>
          <w:rFonts w:cs="FrankRuehl" w:hint="cs"/>
          <w:rtl/>
        </w:rPr>
        <w:tab/>
        <w:t xml:space="preserve">"מקרקעין" </w:t>
      </w:r>
      <w:r>
        <w:rPr>
          <w:rStyle w:val="default"/>
          <w:rFonts w:cs="FrankRuehl"/>
          <w:rtl/>
        </w:rPr>
        <w:t>–</w:t>
      </w:r>
      <w:r>
        <w:rPr>
          <w:rStyle w:val="default"/>
          <w:rFonts w:cs="FrankRuehl" w:hint="cs"/>
          <w:rtl/>
        </w:rPr>
        <w:t xml:space="preserve"> לרבות כל אחד מן המפורטים להלן, בין שיש לציבור ובין שיש ליחיד זכות בו:</w:t>
      </w:r>
    </w:p>
    <w:p w:rsidR="00547F36" w:rsidRDefault="00547F36">
      <w:pPr>
        <w:pStyle w:val="P00"/>
        <w:spacing w:before="72"/>
        <w:ind w:left="1475" w:right="1134" w:hanging="454"/>
        <w:rPr>
          <w:rStyle w:val="default"/>
          <w:rFonts w:cs="FrankRuehl" w:hint="cs"/>
          <w:rtl/>
        </w:rPr>
      </w:pPr>
      <w:r>
        <w:rPr>
          <w:rStyle w:val="default"/>
          <w:rFonts w:cs="FrankRuehl" w:hint="cs"/>
          <w:rtl/>
        </w:rPr>
        <w:t>(אא)</w:t>
      </w:r>
      <w:r>
        <w:rPr>
          <w:rStyle w:val="default"/>
          <w:rFonts w:cs="FrankRuehl" w:hint="cs"/>
          <w:rtl/>
        </w:rPr>
        <w:tab/>
        <w:t>קרקע מכל סוג;</w:t>
      </w:r>
    </w:p>
    <w:p w:rsidR="00547F36" w:rsidRDefault="00547F36">
      <w:pPr>
        <w:pStyle w:val="P00"/>
        <w:spacing w:before="72"/>
        <w:ind w:left="1475" w:right="1134" w:hanging="454"/>
        <w:rPr>
          <w:rStyle w:val="default"/>
          <w:rFonts w:cs="FrankRuehl" w:hint="cs"/>
          <w:rtl/>
        </w:rPr>
      </w:pPr>
      <w:r>
        <w:rPr>
          <w:rStyle w:val="default"/>
          <w:rFonts w:cs="FrankRuehl" w:hint="cs"/>
          <w:rtl/>
        </w:rPr>
        <w:t>(בב)</w:t>
      </w:r>
      <w:r>
        <w:rPr>
          <w:rStyle w:val="default"/>
          <w:rFonts w:cs="FrankRuehl" w:hint="cs"/>
          <w:rtl/>
        </w:rPr>
        <w:tab/>
        <w:t>דרכים או מסילות ברזל;</w:t>
      </w:r>
    </w:p>
    <w:p w:rsidR="00547F36" w:rsidRDefault="00547F36">
      <w:pPr>
        <w:pStyle w:val="P00"/>
        <w:spacing w:before="72"/>
        <w:ind w:left="1475" w:right="1134" w:hanging="454"/>
        <w:rPr>
          <w:rStyle w:val="default"/>
          <w:rFonts w:cs="FrankRuehl" w:hint="cs"/>
          <w:rtl/>
        </w:rPr>
      </w:pPr>
      <w:r>
        <w:rPr>
          <w:rStyle w:val="default"/>
          <w:rFonts w:cs="FrankRuehl" w:hint="cs"/>
          <w:rtl/>
        </w:rPr>
        <w:t>(גג)</w:t>
      </w:r>
      <w:r>
        <w:rPr>
          <w:rStyle w:val="default"/>
          <w:rFonts w:cs="FrankRuehl" w:hint="cs"/>
          <w:rtl/>
        </w:rPr>
        <w:tab/>
        <w:t>נמלים;</w:t>
      </w:r>
    </w:p>
    <w:p w:rsidR="00547F36" w:rsidRDefault="00547F36">
      <w:pPr>
        <w:pStyle w:val="P00"/>
        <w:spacing w:before="72"/>
        <w:ind w:left="1475" w:right="1134" w:hanging="454"/>
        <w:rPr>
          <w:rStyle w:val="default"/>
          <w:rFonts w:cs="FrankRuehl" w:hint="cs"/>
          <w:rtl/>
        </w:rPr>
      </w:pPr>
      <w:r>
        <w:rPr>
          <w:rStyle w:val="default"/>
          <w:rFonts w:cs="FrankRuehl" w:hint="cs"/>
          <w:rtl/>
        </w:rPr>
        <w:t>(דד)</w:t>
      </w:r>
      <w:r>
        <w:rPr>
          <w:rStyle w:val="default"/>
          <w:rFonts w:cs="FrankRuehl" w:hint="cs"/>
          <w:rtl/>
        </w:rPr>
        <w:tab/>
        <w:t>שדות תעופה;</w:t>
      </w:r>
    </w:p>
    <w:p w:rsidR="00547F36" w:rsidRDefault="00547F36">
      <w:pPr>
        <w:pStyle w:val="P00"/>
        <w:spacing w:before="72"/>
        <w:ind w:left="1475" w:right="1134" w:hanging="454"/>
        <w:rPr>
          <w:rStyle w:val="default"/>
          <w:rFonts w:cs="FrankRuehl" w:hint="cs"/>
          <w:rtl/>
        </w:rPr>
      </w:pPr>
      <w:r>
        <w:rPr>
          <w:rStyle w:val="default"/>
          <w:rFonts w:cs="FrankRuehl" w:hint="cs"/>
          <w:rtl/>
        </w:rPr>
        <w:t>(הה)</w:t>
      </w:r>
      <w:r>
        <w:rPr>
          <w:rStyle w:val="default"/>
          <w:rFonts w:cs="FrankRuehl" w:hint="cs"/>
          <w:rtl/>
        </w:rPr>
        <w:tab/>
        <w:t>כל מבנה, עץ, צמח, או דבר אחר, המצוי במקרקעין כחלק בלתי נפרד מהם, או המחובר למקרקעין, בין שהוא מצוי או מחובר כאמור בדרך קבע, ובין בדרך ארעי, בין עליהם ובין בתוכם</w:t>
      </w:r>
      <w:r w:rsidR="00D3451D">
        <w:rPr>
          <w:rStyle w:val="default"/>
          <w:rFonts w:cs="FrankRuehl" w:hint="cs"/>
          <w:rtl/>
        </w:rPr>
        <w:t>, זולת מחוברים הניתנים להפרדה</w:t>
      </w:r>
      <w:r>
        <w:rPr>
          <w:rStyle w:val="default"/>
          <w:rFonts w:cs="FrankRuehl" w:hint="cs"/>
          <w:rtl/>
        </w:rPr>
        <w:t>;</w:t>
      </w:r>
    </w:p>
    <w:p w:rsidR="00547F36" w:rsidRDefault="00547F36">
      <w:pPr>
        <w:pStyle w:val="P00"/>
        <w:spacing w:before="72"/>
        <w:ind w:left="1475" w:right="1134" w:hanging="454"/>
        <w:rPr>
          <w:rStyle w:val="default"/>
          <w:rFonts w:cs="FrankRuehl" w:hint="cs"/>
          <w:rtl/>
        </w:rPr>
      </w:pPr>
      <w:r>
        <w:rPr>
          <w:rStyle w:val="default"/>
          <w:rFonts w:cs="FrankRuehl" w:hint="cs"/>
          <w:rtl/>
        </w:rPr>
        <w:t>(וו)</w:t>
      </w:r>
      <w:r>
        <w:rPr>
          <w:rStyle w:val="default"/>
          <w:rFonts w:cs="FrankRuehl" w:hint="cs"/>
          <w:rtl/>
        </w:rPr>
        <w:tab/>
        <w:t>כל חלק מהים או מהחוף;</w:t>
      </w:r>
    </w:p>
    <w:p w:rsidR="00547F36" w:rsidRDefault="00547F36">
      <w:pPr>
        <w:pStyle w:val="P00"/>
        <w:spacing w:before="72"/>
        <w:ind w:left="1475" w:right="1134" w:hanging="454"/>
        <w:rPr>
          <w:rStyle w:val="default"/>
          <w:rFonts w:cs="FrankRuehl" w:hint="cs"/>
          <w:rtl/>
        </w:rPr>
      </w:pPr>
      <w:r>
        <w:rPr>
          <w:rStyle w:val="default"/>
          <w:rFonts w:cs="FrankRuehl" w:hint="cs"/>
          <w:rtl/>
        </w:rPr>
        <w:t>(זז)</w:t>
      </w:r>
      <w:r>
        <w:rPr>
          <w:rStyle w:val="default"/>
          <w:rFonts w:cs="FrankRuehl" w:hint="cs"/>
          <w:rtl/>
        </w:rPr>
        <w:tab/>
        <w:t>כל מקור מים, עילי או תחתי, טבעי, מוסדר או מותקן ולרבות מיקווה, מאגר, בור, באר, תעלה או ביב;</w:t>
      </w:r>
    </w:p>
    <w:p w:rsidR="00547F36" w:rsidRDefault="00547F36">
      <w:pPr>
        <w:pStyle w:val="P00"/>
        <w:spacing w:before="72"/>
        <w:ind w:left="1475" w:right="1134" w:hanging="454"/>
        <w:rPr>
          <w:rStyle w:val="default"/>
          <w:rFonts w:cs="FrankRuehl" w:hint="cs"/>
          <w:rtl/>
        </w:rPr>
      </w:pPr>
      <w:r>
        <w:rPr>
          <w:rStyle w:val="default"/>
          <w:rFonts w:cs="FrankRuehl" w:hint="cs"/>
          <w:rtl/>
        </w:rPr>
        <w:t>(חח)</w:t>
      </w:r>
      <w:r>
        <w:rPr>
          <w:rStyle w:val="default"/>
          <w:rFonts w:cs="FrankRuehl" w:hint="cs"/>
          <w:rtl/>
        </w:rPr>
        <w:tab/>
        <w:t>מכרות או מחצבים למיניהם, הנמצאים במקרקעין, עליהם, בתוכם או מתחת להם;</w:t>
      </w:r>
    </w:p>
    <w:p w:rsidR="00547F36" w:rsidRDefault="00547F36">
      <w:pPr>
        <w:pStyle w:val="P00"/>
        <w:spacing w:before="72"/>
        <w:ind w:left="1475" w:right="1134" w:hanging="454"/>
        <w:rPr>
          <w:rStyle w:val="default"/>
          <w:rFonts w:cs="FrankRuehl" w:hint="cs"/>
          <w:rtl/>
        </w:rPr>
      </w:pPr>
      <w:r>
        <w:rPr>
          <w:rStyle w:val="default"/>
          <w:rFonts w:cs="FrankRuehl" w:hint="cs"/>
          <w:rtl/>
        </w:rPr>
        <w:t>(טט)</w:t>
      </w:r>
      <w:r>
        <w:rPr>
          <w:rStyle w:val="default"/>
          <w:rFonts w:cs="FrankRuehl" w:hint="cs"/>
          <w:rtl/>
        </w:rPr>
        <w:tab/>
        <w:t>כל חזקה, זכות או טובת הנאה במקרקעין.</w:t>
      </w:r>
    </w:p>
    <w:p w:rsidR="00547F36" w:rsidRDefault="00547F36">
      <w:pPr>
        <w:pStyle w:val="P00"/>
        <w:spacing w:before="72"/>
        <w:ind w:left="1021" w:right="1134" w:hanging="397"/>
        <w:rPr>
          <w:rStyle w:val="default"/>
          <w:rFonts w:cs="FrankRuehl" w:hint="cs"/>
          <w:rtl/>
        </w:rPr>
      </w:pPr>
      <w:r>
        <w:rPr>
          <w:rStyle w:val="default"/>
          <w:rFonts w:cs="FrankRuehl" w:hint="cs"/>
          <w:rtl/>
        </w:rPr>
        <w:t>(23)</w:t>
      </w:r>
      <w:r>
        <w:rPr>
          <w:rStyle w:val="default"/>
          <w:rFonts w:cs="FrankRuehl" w:hint="cs"/>
          <w:rtl/>
        </w:rPr>
        <w:tab/>
        <w:t xml:space="preserve">"עבור" או "הפר" </w:t>
      </w:r>
      <w:r>
        <w:rPr>
          <w:rStyle w:val="default"/>
          <w:rFonts w:cs="FrankRuehl"/>
          <w:rtl/>
        </w:rPr>
        <w:t>–</w:t>
      </w:r>
      <w:r>
        <w:rPr>
          <w:rStyle w:val="default"/>
          <w:rFonts w:cs="FrankRuehl" w:hint="cs"/>
          <w:rtl/>
        </w:rPr>
        <w:t xml:space="preserve"> לענין הוראה, דרישה, רשיון או תנאי שנקבעו בתחיקת בטחון </w:t>
      </w:r>
      <w:r>
        <w:rPr>
          <w:rStyle w:val="default"/>
          <w:rFonts w:cs="FrankRuehl"/>
          <w:rtl/>
        </w:rPr>
        <w:t>–</w:t>
      </w:r>
      <w:r w:rsidR="00092110">
        <w:rPr>
          <w:rStyle w:val="default"/>
          <w:rFonts w:cs="FrankRuehl" w:hint="cs"/>
          <w:rtl/>
        </w:rPr>
        <w:t xml:space="preserve"> אף</w:t>
      </w:r>
      <w:r>
        <w:rPr>
          <w:rStyle w:val="default"/>
          <w:rFonts w:cs="FrankRuehl" w:hint="cs"/>
          <w:rtl/>
        </w:rPr>
        <w:t xml:space="preserve"> אי-קיום במשמע.</w:t>
      </w:r>
    </w:p>
    <w:p w:rsidR="00547F36" w:rsidRDefault="00547F36">
      <w:pPr>
        <w:pStyle w:val="P00"/>
        <w:spacing w:before="72"/>
        <w:ind w:left="1021" w:right="1134" w:hanging="397"/>
        <w:rPr>
          <w:rStyle w:val="default"/>
          <w:rFonts w:cs="FrankRuehl" w:hint="cs"/>
          <w:rtl/>
        </w:rPr>
      </w:pPr>
      <w:r>
        <w:rPr>
          <w:rStyle w:val="default"/>
          <w:rFonts w:cs="FrankRuehl" w:hint="cs"/>
          <w:rtl/>
        </w:rPr>
        <w:t>(24)</w:t>
      </w:r>
      <w:r>
        <w:rPr>
          <w:rStyle w:val="default"/>
          <w:rFonts w:cs="FrankRuehl" w:hint="cs"/>
          <w:rtl/>
        </w:rPr>
        <w:tab/>
        <w:t xml:space="preserve">"עבירה" </w:t>
      </w:r>
      <w:r>
        <w:rPr>
          <w:rStyle w:val="default"/>
          <w:rFonts w:cs="FrankRuehl"/>
          <w:rtl/>
        </w:rPr>
        <w:t>–</w:t>
      </w:r>
      <w:r>
        <w:rPr>
          <w:rStyle w:val="default"/>
          <w:rFonts w:cs="FrankRuehl" w:hint="cs"/>
          <w:rtl/>
        </w:rPr>
        <w:t xml:space="preserve"> מעשה, נסיון או מחדל, שדינם ענישה לפי תחיקת בטחון או מכוחה.</w:t>
      </w:r>
    </w:p>
    <w:p w:rsidR="00547F36" w:rsidRDefault="00547F36" w:rsidP="0092221E">
      <w:pPr>
        <w:pStyle w:val="P00"/>
        <w:spacing w:before="72"/>
        <w:ind w:left="1021" w:right="1134" w:hanging="397"/>
        <w:rPr>
          <w:rStyle w:val="default"/>
          <w:rFonts w:cs="FrankRuehl" w:hint="cs"/>
          <w:rtl/>
        </w:rPr>
      </w:pPr>
      <w:r>
        <w:rPr>
          <w:rStyle w:val="default"/>
          <w:rFonts w:cs="FrankRuehl" w:hint="cs"/>
          <w:rtl/>
        </w:rPr>
        <w:t>(25)</w:t>
      </w:r>
      <w:r>
        <w:rPr>
          <w:rStyle w:val="default"/>
          <w:rFonts w:cs="FrankRuehl" w:hint="cs"/>
          <w:rtl/>
        </w:rPr>
        <w:tab/>
        <w:t>"עונש"</w:t>
      </w:r>
      <w:r w:rsidR="0092221E">
        <w:rPr>
          <w:rStyle w:val="default"/>
          <w:rFonts w:cs="FrankRuehl" w:hint="cs"/>
          <w:rtl/>
        </w:rPr>
        <w:t xml:space="preserve"> </w:t>
      </w:r>
      <w:r w:rsidR="0092221E">
        <w:rPr>
          <w:rStyle w:val="default"/>
          <w:rFonts w:cs="FrankRuehl"/>
          <w:rtl/>
        </w:rPr>
        <w:t>–</w:t>
      </w:r>
      <w:r>
        <w:rPr>
          <w:rStyle w:val="default"/>
          <w:rFonts w:cs="FrankRuehl" w:hint="cs"/>
          <w:rtl/>
        </w:rPr>
        <w:t xml:space="preserve"> לענין עבירה </w:t>
      </w:r>
      <w:r>
        <w:rPr>
          <w:rStyle w:val="default"/>
          <w:rFonts w:cs="FrankRuehl"/>
          <w:rtl/>
        </w:rPr>
        <w:t>–</w:t>
      </w:r>
      <w:r>
        <w:rPr>
          <w:rStyle w:val="default"/>
          <w:rFonts w:cs="FrankRuehl" w:hint="cs"/>
          <w:rtl/>
        </w:rPr>
        <w:t xml:space="preserve"> קנס, מאסר או עונש</w:t>
      </w:r>
      <w:r w:rsidR="0092221E">
        <w:rPr>
          <w:rStyle w:val="default"/>
          <w:rFonts w:cs="FrankRuehl" w:hint="cs"/>
          <w:rtl/>
        </w:rPr>
        <w:t xml:space="preserve"> </w:t>
      </w:r>
      <w:r>
        <w:rPr>
          <w:rStyle w:val="default"/>
          <w:rFonts w:cs="FrankRuehl" w:hint="cs"/>
          <w:rtl/>
        </w:rPr>
        <w:t>מוות.</w:t>
      </w:r>
    </w:p>
    <w:p w:rsidR="00547F36" w:rsidRDefault="00547F36">
      <w:pPr>
        <w:pStyle w:val="P00"/>
        <w:spacing w:before="72"/>
        <w:ind w:left="1021" w:right="1134" w:hanging="397"/>
        <w:rPr>
          <w:rStyle w:val="default"/>
          <w:rFonts w:cs="FrankRuehl" w:hint="cs"/>
          <w:rtl/>
        </w:rPr>
      </w:pPr>
      <w:r>
        <w:rPr>
          <w:rStyle w:val="default"/>
          <w:rFonts w:cs="FrankRuehl" w:hint="cs"/>
          <w:rtl/>
        </w:rPr>
        <w:t>(26)</w:t>
      </w:r>
      <w:r>
        <w:rPr>
          <w:rStyle w:val="default"/>
          <w:rFonts w:cs="FrankRuehl" w:hint="cs"/>
          <w:rtl/>
        </w:rPr>
        <w:tab/>
        <w:t xml:space="preserve">"פרסם" </w:t>
      </w:r>
      <w:r>
        <w:rPr>
          <w:rStyle w:val="default"/>
          <w:rFonts w:cs="FrankRuehl"/>
          <w:rtl/>
        </w:rPr>
        <w:t>–</w:t>
      </w:r>
      <w:r>
        <w:rPr>
          <w:rStyle w:val="default"/>
          <w:rFonts w:cs="FrankRuehl" w:hint="cs"/>
          <w:rtl/>
        </w:rPr>
        <w:t xml:space="preserve"> כולל להפיץ, לספק, לחלק, למסור, להודיע או להמציא לאדם כל שהוא.</w:t>
      </w:r>
    </w:p>
    <w:p w:rsidR="00547F36" w:rsidRDefault="00547F36">
      <w:pPr>
        <w:pStyle w:val="P00"/>
        <w:spacing w:before="72"/>
        <w:ind w:left="1021" w:right="1134" w:hanging="397"/>
        <w:rPr>
          <w:rStyle w:val="default"/>
          <w:rFonts w:cs="FrankRuehl" w:hint="cs"/>
          <w:rtl/>
        </w:rPr>
      </w:pPr>
      <w:r>
        <w:rPr>
          <w:rStyle w:val="default"/>
          <w:rFonts w:cs="FrankRuehl" w:hint="cs"/>
          <w:rtl/>
        </w:rPr>
        <w:t>(27)</w:t>
      </w:r>
      <w:r>
        <w:rPr>
          <w:rStyle w:val="default"/>
          <w:rFonts w:cs="FrankRuehl" w:hint="cs"/>
          <w:rtl/>
        </w:rPr>
        <w:tab/>
        <w:t xml:space="preserve">"צה"ל" </w:t>
      </w:r>
      <w:r>
        <w:rPr>
          <w:rStyle w:val="default"/>
          <w:rFonts w:cs="FrankRuehl"/>
          <w:rtl/>
        </w:rPr>
        <w:t>–</w:t>
      </w:r>
      <w:r>
        <w:rPr>
          <w:rStyle w:val="default"/>
          <w:rFonts w:cs="FrankRuehl" w:hint="cs"/>
          <w:rtl/>
        </w:rPr>
        <w:t xml:space="preserve"> צבא הגנה לישראל, וכן כוחות מזויינים אחרים הפועלים בשיתוף עמו או תחת פיקודו.</w:t>
      </w:r>
    </w:p>
    <w:p w:rsidR="00547F36" w:rsidRDefault="00547F36">
      <w:pPr>
        <w:pStyle w:val="P00"/>
        <w:spacing w:before="72"/>
        <w:ind w:left="1021" w:right="1134" w:hanging="397"/>
        <w:rPr>
          <w:rStyle w:val="default"/>
          <w:rFonts w:cs="FrankRuehl" w:hint="cs"/>
          <w:rtl/>
        </w:rPr>
      </w:pPr>
      <w:r>
        <w:rPr>
          <w:rStyle w:val="default"/>
          <w:rFonts w:cs="FrankRuehl" w:hint="cs"/>
          <w:rtl/>
        </w:rPr>
        <w:t>(28)</w:t>
      </w:r>
      <w:r>
        <w:rPr>
          <w:rStyle w:val="default"/>
          <w:rFonts w:cs="FrankRuehl" w:hint="cs"/>
          <w:rtl/>
        </w:rPr>
        <w:tab/>
        <w:t xml:space="preserve">"צוות", לענין כלי טיס, כלי רכב או כלי שיט </w:t>
      </w:r>
      <w:r>
        <w:rPr>
          <w:rStyle w:val="default"/>
          <w:rFonts w:cs="FrankRuehl"/>
          <w:rtl/>
        </w:rPr>
        <w:t>–</w:t>
      </w:r>
      <w:r>
        <w:rPr>
          <w:rStyle w:val="default"/>
          <w:rFonts w:cs="FrankRuehl" w:hint="cs"/>
          <w:rtl/>
        </w:rPr>
        <w:t xml:space="preserve"> כל העוסק בתיפעולו, בניווטו, בתחזוקתו, או בכל תפקיד, עיסוק, מקצוע, מלאכה או שירות בו.</w:t>
      </w:r>
    </w:p>
    <w:p w:rsidR="004A4702" w:rsidRDefault="004A4702" w:rsidP="004A4702">
      <w:pPr>
        <w:pStyle w:val="P00"/>
        <w:spacing w:before="72"/>
        <w:ind w:left="1021" w:right="1134" w:hanging="397"/>
        <w:rPr>
          <w:rStyle w:val="default"/>
          <w:rFonts w:cs="FrankRuehl" w:hint="cs"/>
          <w:rtl/>
        </w:rPr>
      </w:pPr>
      <w:r>
        <w:rPr>
          <w:rStyle w:val="default"/>
          <w:rFonts w:cs="FrankRuehl" w:hint="cs"/>
          <w:rtl/>
        </w:rPr>
        <w:t xml:space="preserve">(28א) "קובץ מנשרים" </w:t>
      </w:r>
      <w:r>
        <w:rPr>
          <w:rStyle w:val="default"/>
          <w:rFonts w:cs="FrankRuehl"/>
          <w:rtl/>
        </w:rPr>
        <w:t>–</w:t>
      </w:r>
      <w:r>
        <w:rPr>
          <w:rStyle w:val="default"/>
          <w:rFonts w:cs="FrankRuehl" w:hint="cs"/>
          <w:rtl/>
        </w:rPr>
        <w:t xml:space="preserve"> כהגדרתו בצו בדבר קובץ מנשרים (יהודה והשומרון) (מס' 111), התשכ"ז-1967.</w:t>
      </w:r>
    </w:p>
    <w:p w:rsidR="00547F36" w:rsidRDefault="00547F36">
      <w:pPr>
        <w:pStyle w:val="P00"/>
        <w:spacing w:before="72"/>
        <w:ind w:left="1021" w:right="1134" w:hanging="397"/>
        <w:rPr>
          <w:rStyle w:val="default"/>
          <w:rFonts w:cs="FrankRuehl" w:hint="cs"/>
          <w:rtl/>
        </w:rPr>
      </w:pPr>
      <w:r>
        <w:rPr>
          <w:rStyle w:val="default"/>
          <w:rFonts w:cs="FrankRuehl" w:hint="cs"/>
          <w:rtl/>
        </w:rPr>
        <w:t>(29)</w:t>
      </w:r>
      <w:r>
        <w:rPr>
          <w:rStyle w:val="default"/>
          <w:rFonts w:cs="FrankRuehl" w:hint="cs"/>
          <w:rtl/>
        </w:rPr>
        <w:tab/>
        <w:t xml:space="preserve">"קצין" </w:t>
      </w:r>
      <w:r>
        <w:rPr>
          <w:rStyle w:val="default"/>
          <w:rFonts w:cs="FrankRuehl"/>
          <w:rtl/>
        </w:rPr>
        <w:t>–</w:t>
      </w:r>
      <w:r>
        <w:rPr>
          <w:rStyle w:val="default"/>
          <w:rFonts w:cs="FrankRuehl" w:hint="cs"/>
          <w:rtl/>
        </w:rPr>
        <w:t xml:space="preserve"> קצין בצה"ל.</w:t>
      </w:r>
    </w:p>
    <w:p w:rsidR="00547F36" w:rsidRDefault="00547F36">
      <w:pPr>
        <w:pStyle w:val="P00"/>
        <w:spacing w:before="72"/>
        <w:ind w:left="1021" w:right="1134" w:hanging="397"/>
        <w:rPr>
          <w:rStyle w:val="default"/>
          <w:rFonts w:cs="FrankRuehl" w:hint="cs"/>
          <w:rtl/>
        </w:rPr>
      </w:pPr>
      <w:r>
        <w:rPr>
          <w:rStyle w:val="default"/>
          <w:rFonts w:cs="FrankRuehl" w:hint="cs"/>
          <w:rtl/>
        </w:rPr>
        <w:t>(30)</w:t>
      </w:r>
      <w:r>
        <w:rPr>
          <w:rStyle w:val="default"/>
          <w:rFonts w:cs="FrankRuehl" w:hint="cs"/>
          <w:rtl/>
        </w:rPr>
        <w:tab/>
        <w:t xml:space="preserve">"רחוב" או "דרך" </w:t>
      </w:r>
      <w:r>
        <w:rPr>
          <w:rStyle w:val="default"/>
          <w:rFonts w:cs="FrankRuehl"/>
          <w:rtl/>
        </w:rPr>
        <w:t>–</w:t>
      </w:r>
      <w:r>
        <w:rPr>
          <w:rStyle w:val="default"/>
          <w:rFonts w:cs="FrankRuehl" w:hint="cs"/>
          <w:rtl/>
        </w:rPr>
        <w:t xml:space="preserve"> לרבות כביש, שדרה, סימטה, משעול לרוכבים או לרגלים, ככר, חצר, טיילת, מבוי, מיפלש, מעבר תת-קרקעי, גשר, או כל מקום פתוח שהציבור משתמש בו או נוהג לעבור בו, או שהציבור נכנס אליו או רשאי להיכנס אליו.</w:t>
      </w:r>
    </w:p>
    <w:p w:rsidR="00547F36" w:rsidRDefault="00547F36">
      <w:pPr>
        <w:pStyle w:val="P00"/>
        <w:spacing w:before="72"/>
        <w:ind w:left="1021" w:right="1134" w:hanging="397"/>
        <w:rPr>
          <w:rStyle w:val="default"/>
          <w:rFonts w:cs="FrankRuehl" w:hint="cs"/>
          <w:rtl/>
        </w:rPr>
      </w:pPr>
      <w:r>
        <w:rPr>
          <w:rStyle w:val="default"/>
          <w:rFonts w:cs="FrankRuehl" w:hint="cs"/>
          <w:rtl/>
        </w:rPr>
        <w:t>(31)</w:t>
      </w:r>
      <w:r>
        <w:rPr>
          <w:rStyle w:val="default"/>
          <w:rFonts w:cs="FrankRuehl" w:hint="cs"/>
          <w:rtl/>
        </w:rPr>
        <w:tab/>
        <w:t xml:space="preserve">"רכבת" </w:t>
      </w:r>
      <w:r>
        <w:rPr>
          <w:rStyle w:val="default"/>
          <w:rFonts w:cs="FrankRuehl"/>
          <w:rtl/>
        </w:rPr>
        <w:t>–</w:t>
      </w:r>
      <w:r>
        <w:rPr>
          <w:rStyle w:val="default"/>
          <w:rFonts w:cs="FrankRuehl" w:hint="cs"/>
          <w:rtl/>
        </w:rPr>
        <w:t xml:space="preserve"> כולל רכבת כבלים, רכבת תחתית, קטר, קרון, קרונית או פלטפורמה, מונעים, נגררים או נדחפים, בכוח קיטור, דלק, חשמל, או בכל דרך מכאנית אחרת, ולרבות תחנה, מסילה, גשר, כבל, בית-מלאכה, מחסן, מוסך, וכל מקום, מבנה או מיתקן, המשמשים </w:t>
      </w:r>
      <w:r>
        <w:rPr>
          <w:rStyle w:val="default"/>
          <w:rFonts w:cs="FrankRuehl"/>
          <w:rtl/>
        </w:rPr>
        <w:t>–</w:t>
      </w:r>
      <w:r>
        <w:rPr>
          <w:rStyle w:val="default"/>
          <w:rFonts w:cs="FrankRuehl" w:hint="cs"/>
          <w:rtl/>
        </w:rPr>
        <w:t xml:space="preserve"> או שנועדו לשמש </w:t>
      </w:r>
      <w:r>
        <w:rPr>
          <w:rStyle w:val="default"/>
          <w:rFonts w:cs="FrankRuehl"/>
          <w:rtl/>
        </w:rPr>
        <w:t>–</w:t>
      </w:r>
      <w:r>
        <w:rPr>
          <w:rStyle w:val="default"/>
          <w:rFonts w:cs="FrankRuehl" w:hint="cs"/>
          <w:rtl/>
        </w:rPr>
        <w:t xml:space="preserve"> לצרכי רכבת, לתיפעולה, לתחזוקתה, או לכל תפקיד, עיסוק, מקצוע, מלאכה או שירות הכרוכים בצרכים כאמור.</w:t>
      </w:r>
    </w:p>
    <w:p w:rsidR="00547F36" w:rsidRDefault="00547F36" w:rsidP="004A4702">
      <w:pPr>
        <w:pStyle w:val="P00"/>
        <w:spacing w:before="72"/>
        <w:ind w:left="1021" w:right="1134" w:hanging="397"/>
        <w:rPr>
          <w:rStyle w:val="default"/>
          <w:rFonts w:cs="FrankRuehl" w:hint="cs"/>
          <w:rtl/>
        </w:rPr>
      </w:pPr>
      <w:r>
        <w:rPr>
          <w:rStyle w:val="default"/>
          <w:rFonts w:cs="FrankRuehl" w:hint="cs"/>
          <w:rtl/>
        </w:rPr>
        <w:t>(32)</w:t>
      </w: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w:t>
      </w:r>
      <w:r w:rsidR="004A4702">
        <w:rPr>
          <w:rStyle w:val="default"/>
          <w:rFonts w:cs="FrankRuehl" w:hint="cs"/>
          <w:rtl/>
        </w:rPr>
        <w:t>י</w:t>
      </w:r>
      <w:r>
        <w:rPr>
          <w:rStyle w:val="default"/>
          <w:rFonts w:cs="FrankRuehl" w:hint="cs"/>
          <w:rtl/>
        </w:rPr>
        <w:t xml:space="preserve">יה, מועצה מקומית, </w:t>
      </w:r>
      <w:r w:rsidR="004A4702">
        <w:rPr>
          <w:rStyle w:val="default"/>
          <w:rFonts w:cs="FrankRuehl" w:hint="cs"/>
          <w:rtl/>
        </w:rPr>
        <w:t>מועצה אזורית, ועד מקומי או איגוד רשויות מקומיות,</w:t>
      </w:r>
      <w:r>
        <w:rPr>
          <w:rStyle w:val="default"/>
          <w:rFonts w:cs="FrankRuehl" w:hint="cs"/>
          <w:rtl/>
        </w:rPr>
        <w:t xml:space="preserve"> שנתכוננו מכוח דין או מכוח תחיקת בטחון.</w:t>
      </w:r>
    </w:p>
    <w:p w:rsidR="00547F36" w:rsidRDefault="00547F36">
      <w:pPr>
        <w:pStyle w:val="P00"/>
        <w:spacing w:before="72"/>
        <w:ind w:left="1021" w:right="1134" w:hanging="397"/>
        <w:rPr>
          <w:rStyle w:val="default"/>
          <w:rFonts w:cs="FrankRuehl" w:hint="cs"/>
          <w:rtl/>
        </w:rPr>
      </w:pPr>
      <w:r>
        <w:rPr>
          <w:rStyle w:val="default"/>
          <w:rFonts w:cs="FrankRuehl" w:hint="cs"/>
          <w:rtl/>
        </w:rPr>
        <w:t>(33)</w:t>
      </w:r>
      <w:r>
        <w:rPr>
          <w:rStyle w:val="default"/>
          <w:rFonts w:cs="FrankRuehl" w:hint="cs"/>
          <w:rtl/>
        </w:rPr>
        <w:tab/>
        <w:t xml:space="preserve">"רשיון" </w:t>
      </w:r>
      <w:r>
        <w:rPr>
          <w:rStyle w:val="default"/>
          <w:rFonts w:cs="FrankRuehl"/>
          <w:rtl/>
        </w:rPr>
        <w:t>–</w:t>
      </w:r>
      <w:r>
        <w:rPr>
          <w:rStyle w:val="default"/>
          <w:rFonts w:cs="FrankRuehl" w:hint="cs"/>
          <w:rtl/>
        </w:rPr>
        <w:t xml:space="preserve"> רשיון, היתר, הסמכה, הרשאה, הסכמה או פטור, שניתנו מכוח תחיקת בטחון.</w:t>
      </w:r>
    </w:p>
    <w:p w:rsidR="00547F36" w:rsidRDefault="00547F36">
      <w:pPr>
        <w:pStyle w:val="P00"/>
        <w:spacing w:before="72"/>
        <w:ind w:left="1021" w:right="1134" w:hanging="397"/>
        <w:rPr>
          <w:rStyle w:val="default"/>
          <w:rFonts w:cs="FrankRuehl" w:hint="cs"/>
          <w:rtl/>
        </w:rPr>
      </w:pPr>
      <w:r>
        <w:rPr>
          <w:rStyle w:val="default"/>
          <w:rFonts w:cs="FrankRuehl" w:hint="cs"/>
          <w:rtl/>
        </w:rPr>
        <w:t xml:space="preserve">(33א) "שטחי המועצה" </w:t>
      </w:r>
      <w:r>
        <w:rPr>
          <w:rStyle w:val="default"/>
          <w:rFonts w:cs="FrankRuehl"/>
          <w:rtl/>
        </w:rPr>
        <w:t>–</w:t>
      </w:r>
      <w:r>
        <w:rPr>
          <w:rStyle w:val="default"/>
          <w:rFonts w:cs="FrankRuehl" w:hint="cs"/>
          <w:rtl/>
        </w:rPr>
        <w:t xml:space="preserve"> השטחים באיזור הכלולים מעת לעת בתחום הסמכות הטריטוריאלית של המועצה הפלסטינית לפי הסכם הביניים.</w:t>
      </w:r>
    </w:p>
    <w:p w:rsidR="00547F36" w:rsidRDefault="00547F36">
      <w:pPr>
        <w:pStyle w:val="P00"/>
        <w:spacing w:before="72"/>
        <w:ind w:left="1021" w:right="1134" w:hanging="397"/>
        <w:rPr>
          <w:rStyle w:val="default"/>
          <w:rFonts w:cs="FrankRuehl" w:hint="cs"/>
          <w:rtl/>
        </w:rPr>
      </w:pPr>
      <w:r>
        <w:rPr>
          <w:rStyle w:val="default"/>
          <w:rFonts w:cs="FrankRuehl" w:hint="cs"/>
          <w:rtl/>
        </w:rPr>
        <w:t>(34)</w:t>
      </w:r>
      <w:r>
        <w:rPr>
          <w:rStyle w:val="default"/>
          <w:rFonts w:cs="FrankRuehl" w:hint="cs"/>
          <w:rtl/>
        </w:rPr>
        <w:tab/>
        <w:t xml:space="preserve">"שירותים חיוניים" </w:t>
      </w:r>
      <w:r>
        <w:rPr>
          <w:rStyle w:val="default"/>
          <w:rFonts w:cs="FrankRuehl"/>
          <w:rtl/>
        </w:rPr>
        <w:t>–</w:t>
      </w:r>
      <w:r>
        <w:rPr>
          <w:rStyle w:val="default"/>
          <w:rFonts w:cs="FrankRuehl" w:hint="cs"/>
          <w:rtl/>
        </w:rPr>
        <w:t xml:space="preserve"> שירותים הדרושים לאחד מאלה:</w:t>
      </w:r>
    </w:p>
    <w:p w:rsidR="00547F36" w:rsidRDefault="00547F36">
      <w:pPr>
        <w:pStyle w:val="P00"/>
        <w:spacing w:before="72"/>
        <w:ind w:left="1475" w:right="1134" w:hanging="454"/>
        <w:rPr>
          <w:rStyle w:val="default"/>
          <w:rFonts w:cs="FrankRuehl" w:hint="cs"/>
          <w:rtl/>
        </w:rPr>
      </w:pPr>
      <w:r>
        <w:rPr>
          <w:rStyle w:val="default"/>
          <w:rFonts w:cs="FrankRuehl" w:hint="cs"/>
          <w:rtl/>
        </w:rPr>
        <w:t>(אא)</w:t>
      </w:r>
      <w:r>
        <w:rPr>
          <w:rStyle w:val="default"/>
          <w:rFonts w:cs="FrankRuehl" w:hint="cs"/>
          <w:rtl/>
        </w:rPr>
        <w:tab/>
        <w:t>בטחון ישראל או צה"ל;</w:t>
      </w:r>
    </w:p>
    <w:p w:rsidR="00547F36" w:rsidRDefault="00547F36">
      <w:pPr>
        <w:pStyle w:val="P00"/>
        <w:spacing w:before="72"/>
        <w:ind w:left="1475" w:right="1134" w:hanging="454"/>
        <w:rPr>
          <w:rStyle w:val="default"/>
          <w:rFonts w:cs="FrankRuehl" w:hint="cs"/>
          <w:rtl/>
        </w:rPr>
      </w:pPr>
      <w:r>
        <w:rPr>
          <w:rStyle w:val="default"/>
          <w:rFonts w:cs="FrankRuehl" w:hint="cs"/>
          <w:rtl/>
        </w:rPr>
        <w:t>(בב)</w:t>
      </w:r>
      <w:r>
        <w:rPr>
          <w:rStyle w:val="default"/>
          <w:rFonts w:cs="FrankRuehl" w:hint="cs"/>
          <w:rtl/>
        </w:rPr>
        <w:tab/>
        <w:t>שמירה על בטחון הציבור באזור, או על שלומו;</w:t>
      </w:r>
    </w:p>
    <w:p w:rsidR="00547F36" w:rsidRDefault="00547F36">
      <w:pPr>
        <w:pStyle w:val="P00"/>
        <w:spacing w:before="72"/>
        <w:ind w:left="1475" w:right="1134" w:hanging="454"/>
        <w:rPr>
          <w:rStyle w:val="default"/>
          <w:rFonts w:cs="FrankRuehl" w:hint="cs"/>
          <w:rtl/>
        </w:rPr>
      </w:pPr>
      <w:r>
        <w:rPr>
          <w:rStyle w:val="default"/>
          <w:rFonts w:cs="FrankRuehl" w:hint="cs"/>
          <w:rtl/>
        </w:rPr>
        <w:t>(גג)</w:t>
      </w:r>
      <w:r>
        <w:rPr>
          <w:rStyle w:val="default"/>
          <w:rFonts w:cs="FrankRuehl" w:hint="cs"/>
          <w:rtl/>
        </w:rPr>
        <w:tab/>
        <w:t>קיום הסדר הציבורי באזור;</w:t>
      </w:r>
    </w:p>
    <w:p w:rsidR="00547F36" w:rsidRDefault="00547F36">
      <w:pPr>
        <w:pStyle w:val="P00"/>
        <w:spacing w:before="72"/>
        <w:ind w:left="1475" w:right="1134" w:hanging="454"/>
        <w:rPr>
          <w:rStyle w:val="default"/>
          <w:rFonts w:cs="FrankRuehl" w:hint="cs"/>
          <w:rtl/>
        </w:rPr>
      </w:pPr>
      <w:r>
        <w:rPr>
          <w:rStyle w:val="default"/>
          <w:rFonts w:cs="FrankRuehl" w:hint="cs"/>
          <w:rtl/>
        </w:rPr>
        <w:t>(דד)</w:t>
      </w:r>
      <w:r>
        <w:rPr>
          <w:rStyle w:val="default"/>
          <w:rFonts w:cs="FrankRuehl" w:hint="cs"/>
          <w:rtl/>
        </w:rPr>
        <w:tab/>
        <w:t>מילוי צרכיו הכלכליים, הרפואיים או הרוחניים החיוניים של הציבור באזור.</w:t>
      </w:r>
    </w:p>
    <w:p w:rsidR="00547F36" w:rsidRDefault="00547F36" w:rsidP="0074613B">
      <w:pPr>
        <w:pStyle w:val="P00"/>
        <w:spacing w:before="72"/>
        <w:ind w:left="1021" w:right="1134" w:hanging="397"/>
        <w:rPr>
          <w:rStyle w:val="default"/>
          <w:rFonts w:cs="FrankRuehl" w:hint="cs"/>
          <w:rtl/>
        </w:rPr>
      </w:pPr>
      <w:r>
        <w:rPr>
          <w:rStyle w:val="default"/>
          <w:rFonts w:cs="FrankRuehl" w:hint="cs"/>
          <w:rtl/>
        </w:rPr>
        <w:t>(35)</w:t>
      </w:r>
      <w:r>
        <w:rPr>
          <w:rStyle w:val="default"/>
          <w:rFonts w:cs="FrankRuehl" w:hint="cs"/>
          <w:rtl/>
        </w:rPr>
        <w:tab/>
        <w:t xml:space="preserve">"שכירות" </w:t>
      </w:r>
      <w:r>
        <w:rPr>
          <w:rStyle w:val="default"/>
          <w:rFonts w:cs="FrankRuehl"/>
          <w:rtl/>
        </w:rPr>
        <w:t>–</w:t>
      </w:r>
      <w:r>
        <w:rPr>
          <w:rStyle w:val="default"/>
          <w:rFonts w:cs="FrankRuehl" w:hint="cs"/>
          <w:rtl/>
        </w:rPr>
        <w:t xml:space="preserve"> לרבות שכירות</w:t>
      </w:r>
      <w:r w:rsidR="0074613B">
        <w:rPr>
          <w:rStyle w:val="default"/>
          <w:rFonts w:cs="FrankRuehl" w:hint="cs"/>
          <w:rtl/>
        </w:rPr>
        <w:t xml:space="preserve"> </w:t>
      </w:r>
      <w:r>
        <w:rPr>
          <w:rStyle w:val="default"/>
          <w:rFonts w:cs="FrankRuehl" w:hint="cs"/>
          <w:rtl/>
        </w:rPr>
        <w:t>משנה.</w:t>
      </w:r>
    </w:p>
    <w:p w:rsidR="00547F36" w:rsidRDefault="00547F36">
      <w:pPr>
        <w:pStyle w:val="P00"/>
        <w:spacing w:before="72"/>
        <w:ind w:left="1021" w:right="1134" w:hanging="397"/>
        <w:rPr>
          <w:rStyle w:val="default"/>
          <w:rFonts w:cs="FrankRuehl" w:hint="cs"/>
          <w:rtl/>
        </w:rPr>
      </w:pPr>
      <w:r>
        <w:rPr>
          <w:rStyle w:val="default"/>
          <w:rFonts w:cs="FrankRuehl" w:hint="cs"/>
          <w:rtl/>
        </w:rPr>
        <w:t>(36)</w:t>
      </w:r>
      <w:r>
        <w:rPr>
          <w:rStyle w:val="default"/>
          <w:rFonts w:cs="FrankRuehl" w:hint="cs"/>
          <w:rtl/>
        </w:rPr>
        <w:tab/>
        <w:t xml:space="preserve">"שנה" ו"חודש" </w:t>
      </w:r>
      <w:r>
        <w:rPr>
          <w:rStyle w:val="default"/>
          <w:rFonts w:cs="FrankRuehl"/>
          <w:rtl/>
        </w:rPr>
        <w:t>–</w:t>
      </w:r>
      <w:r>
        <w:rPr>
          <w:rStyle w:val="default"/>
          <w:rFonts w:cs="FrankRuehl" w:hint="cs"/>
          <w:rtl/>
        </w:rPr>
        <w:t xml:space="preserve"> למנין הלוח הגריגוריאני.</w:t>
      </w:r>
    </w:p>
    <w:p w:rsidR="00547F36" w:rsidRDefault="00547F36" w:rsidP="0074613B">
      <w:pPr>
        <w:pStyle w:val="P00"/>
        <w:spacing w:before="72"/>
        <w:ind w:left="1021" w:right="1134" w:hanging="397"/>
        <w:rPr>
          <w:rStyle w:val="default"/>
          <w:rFonts w:cs="FrankRuehl" w:hint="cs"/>
          <w:rtl/>
        </w:rPr>
      </w:pPr>
      <w:r>
        <w:rPr>
          <w:rStyle w:val="default"/>
          <w:rFonts w:cs="FrankRuehl" w:hint="cs"/>
          <w:rtl/>
        </w:rPr>
        <w:t>(37)</w:t>
      </w:r>
      <w:r>
        <w:rPr>
          <w:rStyle w:val="default"/>
          <w:rFonts w:cs="FrankRuehl" w:hint="cs"/>
          <w:rtl/>
        </w:rPr>
        <w:tab/>
        <w:t xml:space="preserve">"שנת כספים" </w:t>
      </w:r>
      <w:r>
        <w:rPr>
          <w:rStyle w:val="default"/>
          <w:rFonts w:cs="FrankRuehl"/>
          <w:rtl/>
        </w:rPr>
        <w:t>–</w:t>
      </w:r>
      <w:r>
        <w:rPr>
          <w:rStyle w:val="default"/>
          <w:rFonts w:cs="FrankRuehl" w:hint="cs"/>
          <w:rtl/>
        </w:rPr>
        <w:t xml:space="preserve"> </w:t>
      </w:r>
      <w:r w:rsidR="0074613B">
        <w:rPr>
          <w:rStyle w:val="default"/>
          <w:rFonts w:cs="FrankRuehl" w:hint="cs"/>
          <w:rtl/>
        </w:rPr>
        <w:t>תקופה מאחד בינואר של שנה פלונית עד שלושים ואחד בדצמבר של אותה שנה; על אף האמור ברישא של סעיף זה, תחול הגדרה זו גם על הדין</w:t>
      </w:r>
      <w:r>
        <w:rPr>
          <w:rStyle w:val="default"/>
          <w:rFonts w:cs="FrankRuehl" w:hint="cs"/>
          <w:rtl/>
        </w:rPr>
        <w:t>.</w:t>
      </w:r>
    </w:p>
    <w:p w:rsidR="00547F36" w:rsidRDefault="00547F36" w:rsidP="0074613B">
      <w:pPr>
        <w:pStyle w:val="P00"/>
        <w:spacing w:before="72"/>
        <w:ind w:left="1021" w:right="1134" w:hanging="397"/>
        <w:rPr>
          <w:rStyle w:val="default"/>
          <w:rFonts w:cs="FrankRuehl" w:hint="cs"/>
          <w:rtl/>
        </w:rPr>
      </w:pPr>
      <w:r>
        <w:rPr>
          <w:rStyle w:val="default"/>
          <w:rFonts w:cs="FrankRuehl" w:hint="cs"/>
          <w:rtl/>
        </w:rPr>
        <w:t>(38)</w:t>
      </w:r>
      <w:r>
        <w:rPr>
          <w:rStyle w:val="default"/>
          <w:rFonts w:cs="FrankRuehl" w:hint="cs"/>
          <w:rtl/>
        </w:rPr>
        <w:tab/>
        <w:t xml:space="preserve">"תאגיד" </w:t>
      </w:r>
      <w:r>
        <w:rPr>
          <w:rStyle w:val="default"/>
          <w:rFonts w:cs="FrankRuehl"/>
          <w:rtl/>
        </w:rPr>
        <w:t>–</w:t>
      </w:r>
      <w:r>
        <w:rPr>
          <w:rStyle w:val="default"/>
          <w:rFonts w:cs="FrankRuehl" w:hint="cs"/>
          <w:rtl/>
        </w:rPr>
        <w:t xml:space="preserve"> לרבות חבר</w:t>
      </w:r>
      <w:r w:rsidR="0074613B">
        <w:rPr>
          <w:rStyle w:val="default"/>
          <w:rFonts w:cs="FrankRuehl" w:hint="cs"/>
          <w:rtl/>
        </w:rPr>
        <w:t xml:space="preserve"> </w:t>
      </w:r>
      <w:r>
        <w:rPr>
          <w:rStyle w:val="default"/>
          <w:rFonts w:cs="FrankRuehl" w:hint="cs"/>
          <w:rtl/>
        </w:rPr>
        <w:t>תאגידים.</w:t>
      </w:r>
    </w:p>
    <w:p w:rsidR="00547F36" w:rsidRDefault="00547F36" w:rsidP="0074613B">
      <w:pPr>
        <w:pStyle w:val="P00"/>
        <w:spacing w:before="72"/>
        <w:ind w:left="1021" w:right="1134" w:hanging="397"/>
        <w:rPr>
          <w:rStyle w:val="default"/>
          <w:rFonts w:cs="FrankRuehl" w:hint="cs"/>
          <w:rtl/>
        </w:rPr>
      </w:pPr>
      <w:r>
        <w:rPr>
          <w:rStyle w:val="default"/>
          <w:rFonts w:cs="FrankRuehl" w:hint="cs"/>
          <w:rtl/>
        </w:rPr>
        <w:t>(39)</w:t>
      </w:r>
      <w:r>
        <w:rPr>
          <w:rStyle w:val="default"/>
          <w:rFonts w:cs="FrankRuehl" w:hint="cs"/>
          <w:rtl/>
        </w:rPr>
        <w:tab/>
        <w:t xml:space="preserve">"תחיקת בטחון" </w:t>
      </w:r>
      <w:r>
        <w:rPr>
          <w:rStyle w:val="default"/>
          <w:rFonts w:cs="FrankRuehl"/>
          <w:rtl/>
        </w:rPr>
        <w:t>–</w:t>
      </w:r>
      <w:r>
        <w:rPr>
          <w:rStyle w:val="default"/>
          <w:rFonts w:cs="FrankRuehl" w:hint="cs"/>
          <w:rtl/>
        </w:rPr>
        <w:t xml:space="preserve"> מינשר, צו, הודעה, מודעה, דרישה, רשיון, מינוי, או כל מסמך אחר, שניתנו על-ידי מפקד כוחות צה"ל באזור, על</w:t>
      </w:r>
      <w:r w:rsidR="0074613B">
        <w:rPr>
          <w:rStyle w:val="default"/>
          <w:rFonts w:cs="FrankRuehl" w:hint="cs"/>
          <w:rtl/>
        </w:rPr>
        <w:t xml:space="preserve"> </w:t>
      </w:r>
      <w:r>
        <w:rPr>
          <w:rStyle w:val="default"/>
          <w:rFonts w:cs="FrankRuehl" w:hint="cs"/>
          <w:rtl/>
        </w:rPr>
        <w:t>ידי מפקד צבאי, או על-ידי רשות אחרת שפעלה מכוחם, מטעמם, או באישורם, בין לפני תחילתו של צו זה ובין לאחריה.</w:t>
      </w:r>
    </w:p>
    <w:p w:rsidR="004A4702" w:rsidRDefault="004A4702" w:rsidP="004A4702">
      <w:pPr>
        <w:pStyle w:val="P00"/>
        <w:spacing w:before="72"/>
        <w:ind w:left="1021" w:right="1134" w:hanging="397"/>
        <w:rPr>
          <w:rStyle w:val="default"/>
          <w:rFonts w:cs="FrankRuehl" w:hint="cs"/>
          <w:rtl/>
        </w:rPr>
      </w:pPr>
      <w:r>
        <w:rPr>
          <w:rStyle w:val="default"/>
          <w:rFonts w:cs="FrankRuehl" w:hint="cs"/>
          <w:rtl/>
        </w:rPr>
        <w:t>(40)</w:t>
      </w:r>
      <w:r>
        <w:rPr>
          <w:rStyle w:val="default"/>
          <w:rFonts w:cs="FrankRuehl" w:hint="cs"/>
          <w:rtl/>
        </w:rPr>
        <w:tab/>
        <w:t xml:space="preserve">"תקנה" </w:t>
      </w:r>
      <w:r>
        <w:rPr>
          <w:rStyle w:val="default"/>
          <w:rFonts w:cs="FrankRuehl"/>
          <w:rtl/>
        </w:rPr>
        <w:t>–</w:t>
      </w:r>
      <w:r>
        <w:rPr>
          <w:rStyle w:val="default"/>
          <w:rFonts w:cs="FrankRuehl" w:hint="cs"/>
          <w:rtl/>
        </w:rPr>
        <w:t xml:space="preserve"> הוראה שניתנה מכוח דין או תחיקת בטחון והיא בת-פעל תחיקתי.</w:t>
      </w:r>
    </w:p>
    <w:p w:rsidR="003F30B4" w:rsidRDefault="003F30B4" w:rsidP="0074613B">
      <w:pPr>
        <w:pStyle w:val="P00"/>
        <w:spacing w:before="72"/>
        <w:ind w:left="0" w:right="1134"/>
        <w:rPr>
          <w:rStyle w:val="default"/>
          <w:rFonts w:cs="FrankRuehl" w:hint="cs"/>
          <w:rtl/>
        </w:rPr>
      </w:pPr>
      <w:bookmarkStart w:id="3" w:name="Seif38"/>
      <w:bookmarkEnd w:id="3"/>
      <w:r>
        <w:rPr>
          <w:rFonts w:cs="Miriam"/>
          <w:lang w:val="he-IL"/>
        </w:rPr>
        <w:pict>
          <v:rect id="_x0000_s1318" style="position:absolute;left:0;text-align:left;margin-left:464.35pt;margin-top:7.1pt;width:75.05pt;height:22.5pt;z-index:251674112" o:allowincell="f" filled="f" stroked="f" strokecolor="lime" strokeweight=".25pt">
            <v:textbox style="mso-next-textbox:#_x0000_s1318" inset="0,0,0,0">
              <w:txbxContent>
                <w:p w:rsidR="003F30B4" w:rsidRDefault="0074613B" w:rsidP="003F30B4">
                  <w:pPr>
                    <w:pStyle w:val="a7"/>
                    <w:rPr>
                      <w:rFonts w:hint="cs"/>
                      <w:noProof/>
                      <w:rtl/>
                    </w:rPr>
                  </w:pPr>
                  <w:r>
                    <w:rPr>
                      <w:rFonts w:hint="cs"/>
                      <w:rtl/>
                    </w:rPr>
                    <w:t>פירוש המונח "אזור יהודה והשומרון"</w:t>
                  </w:r>
                </w:p>
              </w:txbxContent>
            </v:textbox>
            <w10:anchorlock/>
          </v:rect>
        </w:pict>
      </w:r>
      <w:r w:rsidR="0074613B">
        <w:rPr>
          <w:rStyle w:val="big-number"/>
          <w:rFonts w:cs="Miriam" w:hint="cs"/>
          <w:rtl/>
        </w:rPr>
        <w:t>1</w:t>
      </w:r>
      <w:r w:rsidR="0074613B">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74613B">
        <w:rPr>
          <w:rStyle w:val="default"/>
          <w:rFonts w:cs="FrankRuehl" w:hint="cs"/>
          <w:rtl/>
        </w:rPr>
        <w:t>המונח "אזור יהודה והשומרון" יהיה זהה במשמעותו לכל צורך לרבות לענין כל דין או תחיקת בטחון, למונח "אזור הגדה המערבית"</w:t>
      </w:r>
      <w:r>
        <w:rPr>
          <w:rStyle w:val="default"/>
          <w:rFonts w:cs="FrankRuehl" w:hint="cs"/>
          <w:rtl/>
        </w:rPr>
        <w:t>.</w:t>
      </w:r>
    </w:p>
    <w:p w:rsidR="003F30B4" w:rsidRDefault="003F30B4" w:rsidP="0074613B">
      <w:pPr>
        <w:pStyle w:val="P00"/>
        <w:spacing w:before="72"/>
        <w:ind w:left="0" w:right="1134"/>
        <w:rPr>
          <w:rStyle w:val="default"/>
          <w:rFonts w:cs="FrankRuehl" w:hint="cs"/>
          <w:rtl/>
        </w:rPr>
      </w:pPr>
      <w:bookmarkStart w:id="4" w:name="Seif39"/>
      <w:bookmarkEnd w:id="4"/>
      <w:r>
        <w:rPr>
          <w:rFonts w:cs="Miriam"/>
          <w:lang w:val="he-IL"/>
        </w:rPr>
        <w:pict>
          <v:rect id="_x0000_s1319" style="position:absolute;left:0;text-align:left;margin-left:464.35pt;margin-top:7.1pt;width:75.05pt;height:11.15pt;z-index:251675136" o:allowincell="f" filled="f" stroked="f" strokecolor="lime" strokeweight=".25pt">
            <v:textbox style="mso-next-textbox:#_x0000_s1319" inset="0,0,0,0">
              <w:txbxContent>
                <w:p w:rsidR="003F30B4" w:rsidRDefault="0074613B" w:rsidP="003F30B4">
                  <w:pPr>
                    <w:pStyle w:val="a7"/>
                    <w:rPr>
                      <w:rFonts w:hint="cs"/>
                      <w:noProof/>
                      <w:rtl/>
                    </w:rPr>
                  </w:pPr>
                  <w:r>
                    <w:rPr>
                      <w:rFonts w:hint="cs"/>
                      <w:rtl/>
                    </w:rPr>
                    <w:t>שינוי תואר</w:t>
                  </w:r>
                </w:p>
              </w:txbxContent>
            </v:textbox>
            <w10:anchorlock/>
          </v:rect>
        </w:pict>
      </w:r>
      <w:r w:rsidR="0074613B">
        <w:rPr>
          <w:rStyle w:val="big-number"/>
          <w:rFonts w:cs="Miriam" w:hint="cs"/>
          <w:rtl/>
        </w:rPr>
        <w:t>1</w:t>
      </w:r>
      <w:r w:rsidR="0074613B">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74613B">
        <w:rPr>
          <w:rStyle w:val="default"/>
          <w:rFonts w:cs="FrankRuehl" w:hint="cs"/>
          <w:rtl/>
        </w:rPr>
        <w:t>(א)</w:t>
      </w:r>
      <w:r w:rsidR="0074613B">
        <w:rPr>
          <w:rStyle w:val="default"/>
          <w:rFonts w:cs="FrankRuehl" w:hint="cs"/>
          <w:rtl/>
        </w:rPr>
        <w:tab/>
        <w:t>בכל מקום בתחיקת בטחון בו נאמר "מפקד האזור", ייקרא "מפקד כוחות צה"ל באזור"</w:t>
      </w:r>
      <w:r>
        <w:rPr>
          <w:rStyle w:val="default"/>
          <w:rFonts w:cs="FrankRuehl" w:hint="cs"/>
          <w:rtl/>
        </w:rPr>
        <w:t>.</w:t>
      </w:r>
    </w:p>
    <w:p w:rsidR="0074613B" w:rsidRDefault="0074613B" w:rsidP="007461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למען הסר ספק, כל סמכויות השלטון, החקיקה, המינוי, והמינהל שהיו מוקנות למפקד האזור מוקנות בזה למפקד כוחות צה"ל באזור.</w:t>
      </w:r>
    </w:p>
    <w:p w:rsidR="00547F36" w:rsidRDefault="00547F36">
      <w:pPr>
        <w:pStyle w:val="P00"/>
        <w:spacing w:before="72"/>
        <w:ind w:left="0" w:right="1134"/>
        <w:rPr>
          <w:rStyle w:val="default"/>
          <w:rFonts w:cs="FrankRuehl" w:hint="cs"/>
          <w:rtl/>
        </w:rPr>
      </w:pPr>
      <w:bookmarkStart w:id="5" w:name="Seif2"/>
      <w:bookmarkEnd w:id="5"/>
      <w:r>
        <w:rPr>
          <w:rFonts w:cs="Miriam"/>
          <w:lang w:val="he-IL"/>
        </w:rPr>
        <w:pict>
          <v:rect id="_x0000_s1214" style="position:absolute;left:0;text-align:left;margin-left:464.35pt;margin-top:7.1pt;width:75.05pt;height:11.15pt;z-index:251637248" o:allowincell="f" filled="f" stroked="f" strokecolor="lime" strokeweight=".25pt">
            <v:textbox style="mso-next-textbox:#_x0000_s1214" inset="0,0,0,0">
              <w:txbxContent>
                <w:p w:rsidR="00547F36" w:rsidRDefault="00547F36">
                  <w:pPr>
                    <w:pStyle w:val="a7"/>
                    <w:rPr>
                      <w:rFonts w:hint="cs"/>
                      <w:noProof/>
                      <w:rtl/>
                    </w:rPr>
                  </w:pPr>
                  <w:r>
                    <w:rPr>
                      <w:rFonts w:hint="cs"/>
                      <w:rtl/>
                    </w:rPr>
                    <w:t>מספר ומין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כל האמור בתחיקת בטחון בלשון יחיד, אף הרבים במשמע, וכן להיפך, וכל האמור במין זכר, אף מין נקבע במשמע; והוא כשאין באותה תחיקה הוראה מפורשת אחרת, ואין בגוף הענין, או בהקשר, דבר שאינו מתיישב עם משמעות זו.</w:t>
      </w:r>
    </w:p>
    <w:p w:rsidR="00547F36" w:rsidRDefault="00547F36" w:rsidP="0074613B">
      <w:pPr>
        <w:pStyle w:val="P00"/>
        <w:spacing w:before="72"/>
        <w:ind w:left="0" w:right="1134"/>
        <w:rPr>
          <w:rStyle w:val="default"/>
          <w:rFonts w:cs="FrankRuehl" w:hint="cs"/>
          <w:rtl/>
        </w:rPr>
      </w:pPr>
      <w:bookmarkStart w:id="6" w:name="Seif3"/>
      <w:bookmarkEnd w:id="6"/>
      <w:r>
        <w:rPr>
          <w:rFonts w:cs="Miriam"/>
          <w:lang w:val="he-IL"/>
        </w:rPr>
        <w:pict>
          <v:rect id="_x0000_s1239" style="position:absolute;left:0;text-align:left;margin-left:464.35pt;margin-top:7.1pt;width:75.05pt;height:19.25pt;z-index:251638272" o:allowincell="f" filled="f" stroked="f" strokecolor="lime" strokeweight=".25pt">
            <v:textbox style="mso-next-textbox:#_x0000_s1239" inset="0,0,0,0">
              <w:txbxContent>
                <w:p w:rsidR="00547F36" w:rsidRDefault="00547F36">
                  <w:pPr>
                    <w:spacing w:line="160" w:lineRule="exact"/>
                    <w:rPr>
                      <w:rFonts w:cs="Miriam" w:hint="cs"/>
                      <w:noProof/>
                      <w:sz w:val="18"/>
                      <w:szCs w:val="18"/>
                      <w:rtl/>
                    </w:rPr>
                  </w:pPr>
                  <w:r>
                    <w:rPr>
                      <w:rFonts w:cs="Miriam" w:hint="cs"/>
                      <w:sz w:val="18"/>
                      <w:szCs w:val="18"/>
                      <w:rtl/>
                    </w:rPr>
                    <w:t>"או", "אחר", "בדרך אחרת"</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המ</w:t>
      </w:r>
      <w:r w:rsidR="0074613B">
        <w:rPr>
          <w:rStyle w:val="default"/>
          <w:rFonts w:cs="FrankRuehl" w:hint="cs"/>
          <w:rtl/>
        </w:rPr>
        <w:t>י</w:t>
      </w:r>
      <w:r>
        <w:rPr>
          <w:rStyle w:val="default"/>
          <w:rFonts w:cs="FrankRuehl" w:hint="cs"/>
          <w:rtl/>
        </w:rPr>
        <w:t xml:space="preserve">לים "או", "אחר", או "בדרך אחרת", כשהן באות בתחיקת בטחון ואין כוונה אחרת משתמעת </w:t>
      </w:r>
      <w:r>
        <w:rPr>
          <w:rStyle w:val="default"/>
          <w:rFonts w:cs="FrankRuehl"/>
          <w:rtl/>
        </w:rPr>
        <w:t>–</w:t>
      </w:r>
      <w:r>
        <w:rPr>
          <w:rStyle w:val="default"/>
          <w:rFonts w:cs="FrankRuehl" w:hint="cs"/>
          <w:rtl/>
        </w:rPr>
        <w:t xml:space="preserve"> להבדיל הן באות ולא להקיש, אלא אם יש בצידן המלה "דומה" או מ</w:t>
      </w:r>
      <w:r w:rsidR="0074613B">
        <w:rPr>
          <w:rStyle w:val="default"/>
          <w:rFonts w:cs="FrankRuehl" w:hint="cs"/>
          <w:rtl/>
        </w:rPr>
        <w:t>י</w:t>
      </w:r>
      <w:r>
        <w:rPr>
          <w:rStyle w:val="default"/>
          <w:rFonts w:cs="FrankRuehl" w:hint="cs"/>
          <w:rtl/>
        </w:rPr>
        <w:t>לה אחרת שמשמעה היקש.</w:t>
      </w:r>
    </w:p>
    <w:p w:rsidR="004A4702" w:rsidRDefault="004A4702" w:rsidP="00F37E5F">
      <w:pPr>
        <w:pStyle w:val="P00"/>
        <w:spacing w:before="72"/>
        <w:ind w:left="0" w:right="1134"/>
        <w:rPr>
          <w:rStyle w:val="default"/>
          <w:rFonts w:cs="FrankRuehl" w:hint="cs"/>
          <w:rtl/>
        </w:rPr>
      </w:pPr>
      <w:bookmarkStart w:id="7" w:name="Seif29"/>
      <w:bookmarkEnd w:id="7"/>
      <w:r>
        <w:rPr>
          <w:rFonts w:cs="Miriam"/>
          <w:lang w:val="he-IL"/>
        </w:rPr>
        <w:pict>
          <v:rect id="_x0000_s1302" style="position:absolute;left:0;text-align:left;margin-left:464.35pt;margin-top:7.1pt;width:75.05pt;height:12.45pt;z-index:251664896" o:allowincell="f" filled="f" stroked="f" strokecolor="lime" strokeweight=".25pt">
            <v:textbox style="mso-next-textbox:#_x0000_s1302" inset="0,0,0,0">
              <w:txbxContent>
                <w:p w:rsidR="004A4702" w:rsidRDefault="004A4702" w:rsidP="004A4702">
                  <w:pPr>
                    <w:spacing w:line="160" w:lineRule="exact"/>
                    <w:rPr>
                      <w:rFonts w:cs="Miriam" w:hint="cs"/>
                      <w:sz w:val="18"/>
                      <w:szCs w:val="18"/>
                      <w:rtl/>
                    </w:rPr>
                  </w:pPr>
                  <w:r>
                    <w:rPr>
                      <w:rFonts w:cs="Miriam" w:hint="cs"/>
                      <w:sz w:val="18"/>
                      <w:szCs w:val="18"/>
                      <w:rtl/>
                    </w:rPr>
                    <w:t>"עד..."</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sidR="00F37E5F">
        <w:rPr>
          <w:rStyle w:val="default"/>
          <w:rFonts w:cs="FrankRuehl" w:hint="cs"/>
          <w:rtl/>
        </w:rPr>
        <w:t xml:space="preserve">הביטוי "עד..." לענין זמן או לענין מובאה </w:t>
      </w:r>
      <w:r w:rsidR="00F37E5F">
        <w:rPr>
          <w:rStyle w:val="default"/>
          <w:rFonts w:cs="FrankRuehl"/>
          <w:rtl/>
        </w:rPr>
        <w:t>–</w:t>
      </w:r>
      <w:r w:rsidR="00F37E5F">
        <w:rPr>
          <w:rStyle w:val="default"/>
          <w:rFonts w:cs="FrankRuehl" w:hint="cs"/>
          <w:rtl/>
        </w:rPr>
        <w:t xml:space="preserve"> משמעו עד ועד בכלל</w:t>
      </w:r>
      <w:r>
        <w:rPr>
          <w:rStyle w:val="default"/>
          <w:rFonts w:cs="FrankRuehl" w:hint="cs"/>
          <w:rtl/>
        </w:rPr>
        <w:t>.</w:t>
      </w:r>
    </w:p>
    <w:p w:rsidR="004A4702" w:rsidRDefault="004A4702" w:rsidP="00F37E5F">
      <w:pPr>
        <w:pStyle w:val="P00"/>
        <w:spacing w:before="72"/>
        <w:ind w:left="0" w:right="1134"/>
        <w:rPr>
          <w:rStyle w:val="default"/>
          <w:rFonts w:cs="FrankRuehl" w:hint="cs"/>
          <w:rtl/>
        </w:rPr>
      </w:pPr>
      <w:bookmarkStart w:id="8" w:name="Seif30"/>
      <w:bookmarkEnd w:id="8"/>
      <w:r>
        <w:rPr>
          <w:rFonts w:cs="Miriam"/>
          <w:lang w:val="he-IL"/>
        </w:rPr>
        <w:pict>
          <v:rect id="_x0000_s1303" style="position:absolute;left:0;text-align:left;margin-left:464.35pt;margin-top:7.1pt;width:75.05pt;height:10.55pt;z-index:251665920" o:allowincell="f" filled="f" stroked="f" strokecolor="lime" strokeweight=".25pt">
            <v:textbox style="mso-next-textbox:#_x0000_s1303" inset="0,0,0,0">
              <w:txbxContent>
                <w:p w:rsidR="004A4702" w:rsidRDefault="004A4702" w:rsidP="00F37E5F">
                  <w:pPr>
                    <w:spacing w:line="160" w:lineRule="exact"/>
                    <w:rPr>
                      <w:rFonts w:cs="Miriam" w:hint="cs"/>
                      <w:sz w:val="18"/>
                      <w:szCs w:val="18"/>
                      <w:rtl/>
                    </w:rPr>
                  </w:pPr>
                  <w:r>
                    <w:rPr>
                      <w:rFonts w:cs="Miriam" w:hint="cs"/>
                      <w:sz w:val="18"/>
                      <w:szCs w:val="18"/>
                      <w:rtl/>
                    </w:rPr>
                    <w:t>"</w:t>
                  </w:r>
                  <w:r w:rsidR="00F37E5F">
                    <w:rPr>
                      <w:rFonts w:cs="Miriam" w:hint="cs"/>
                      <w:sz w:val="18"/>
                      <w:szCs w:val="18"/>
                      <w:rtl/>
                    </w:rPr>
                    <w:t>לפי</w:t>
                  </w:r>
                  <w:r>
                    <w:rPr>
                      <w:rFonts w:cs="Miriam" w:hint="cs"/>
                      <w:sz w:val="18"/>
                      <w:szCs w:val="18"/>
                      <w:rtl/>
                    </w:rPr>
                    <w:t>"</w:t>
                  </w:r>
                </w:p>
              </w:txbxContent>
            </v:textbox>
            <w10:anchorlock/>
          </v:rect>
        </w:pict>
      </w:r>
      <w:r>
        <w:rPr>
          <w:rStyle w:val="big-number"/>
          <w:rFonts w:cs="Miriam" w:hint="cs"/>
          <w:rtl/>
        </w:rPr>
        <w:t>3</w:t>
      </w:r>
      <w:r>
        <w:rPr>
          <w:rStyle w:val="default"/>
          <w:rFonts w:cs="FrankRuehl" w:hint="cs"/>
          <w:rtl/>
        </w:rPr>
        <w:t>ב</w:t>
      </w:r>
      <w:r>
        <w:rPr>
          <w:rStyle w:val="default"/>
          <w:rFonts w:cs="FrankRuehl"/>
          <w:rtl/>
        </w:rPr>
        <w:t>.</w:t>
      </w:r>
      <w:r>
        <w:rPr>
          <w:rStyle w:val="default"/>
          <w:rFonts w:cs="FrankRuehl"/>
          <w:rtl/>
        </w:rPr>
        <w:tab/>
      </w:r>
      <w:r w:rsidR="00F37E5F">
        <w:rPr>
          <w:rStyle w:val="default"/>
          <w:rFonts w:cs="FrankRuehl" w:hint="cs"/>
          <w:rtl/>
        </w:rPr>
        <w:t xml:space="preserve">הביטוי "לפי", לענין דין פלוני או תחיקת בטחון פלונית או ביטוי כיוצא בו </w:t>
      </w:r>
      <w:r w:rsidR="00F37E5F">
        <w:rPr>
          <w:rStyle w:val="default"/>
          <w:rFonts w:cs="FrankRuehl"/>
          <w:rtl/>
        </w:rPr>
        <w:t>–</w:t>
      </w:r>
      <w:r w:rsidR="00F37E5F">
        <w:rPr>
          <w:rStyle w:val="default"/>
          <w:rFonts w:cs="FrankRuehl" w:hint="cs"/>
          <w:rtl/>
        </w:rPr>
        <w:t xml:space="preserve"> משמעו גם לפי תקנות שהותקנו מכוחו של הדין או תחיקת הבטחון, בהתאמה</w:t>
      </w:r>
      <w:r>
        <w:rPr>
          <w:rStyle w:val="default"/>
          <w:rFonts w:cs="FrankRuehl" w:hint="cs"/>
          <w:rtl/>
        </w:rPr>
        <w:t>.</w:t>
      </w:r>
    </w:p>
    <w:p w:rsidR="00547F36" w:rsidRDefault="00547F36">
      <w:pPr>
        <w:pStyle w:val="P00"/>
        <w:spacing w:before="72"/>
        <w:ind w:left="0" w:right="1134"/>
        <w:rPr>
          <w:rStyle w:val="default"/>
          <w:rFonts w:cs="FrankRuehl" w:hint="cs"/>
          <w:rtl/>
        </w:rPr>
      </w:pPr>
      <w:bookmarkStart w:id="9" w:name="Seif4"/>
      <w:bookmarkEnd w:id="9"/>
      <w:r>
        <w:rPr>
          <w:rFonts w:cs="Miriam"/>
          <w:lang w:val="he-IL"/>
        </w:rPr>
        <w:pict>
          <v:rect id="_x0000_s1253" style="position:absolute;left:0;text-align:left;margin-left:464.35pt;margin-top:7.1pt;width:75.05pt;height:10.15pt;z-index:251639296" o:allowincell="f" filled="f" stroked="f" strokecolor="lime" strokeweight=".25pt">
            <v:textbox style="mso-next-textbox:#_x0000_s1253" inset="0,0,0,0">
              <w:txbxContent>
                <w:p w:rsidR="00547F36" w:rsidRDefault="00547F36">
                  <w:pPr>
                    <w:spacing w:line="160" w:lineRule="exact"/>
                    <w:rPr>
                      <w:rFonts w:cs="Miriam" w:hint="cs"/>
                      <w:noProof/>
                      <w:sz w:val="18"/>
                      <w:szCs w:val="18"/>
                      <w:rtl/>
                    </w:rPr>
                  </w:pPr>
                  <w:r>
                    <w:rPr>
                      <w:rFonts w:cs="Miriam" w:hint="cs"/>
                      <w:sz w:val="18"/>
                      <w:szCs w:val="18"/>
                      <w:rtl/>
                    </w:rPr>
                    <w:t>חישוב הזמן</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בחישוב הזמן לענין תחיקת בטחון ינהגו כאמור להלן, אם אין כוונה אחרת משתמעת:</w:t>
      </w:r>
    </w:p>
    <w:p w:rsidR="00547F36" w:rsidRDefault="00547F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מקום שנקוב מספר ימים שעברו או שיעברו לאחר מעשה פלוני או אחר מאורע פלוני </w:t>
      </w:r>
      <w:r>
        <w:rPr>
          <w:rStyle w:val="default"/>
          <w:rFonts w:cs="FrankRuehl"/>
          <w:rtl/>
        </w:rPr>
        <w:t>–</w:t>
      </w:r>
      <w:r>
        <w:rPr>
          <w:rStyle w:val="default"/>
          <w:rFonts w:cs="FrankRuehl" w:hint="cs"/>
          <w:rtl/>
        </w:rPr>
        <w:t xml:space="preserve"> יום המעשה או יום המאורע לא יבוא במספר הימים;</w:t>
      </w:r>
    </w:p>
    <w:p w:rsidR="00480822" w:rsidRDefault="00480822">
      <w:pPr>
        <w:pStyle w:val="P00"/>
        <w:spacing w:before="72"/>
        <w:ind w:left="624" w:right="1134"/>
        <w:rPr>
          <w:rStyle w:val="default"/>
          <w:rFonts w:cs="FrankRuehl" w:hint="cs"/>
          <w:rtl/>
        </w:rPr>
      </w:pPr>
      <w:r>
        <w:rPr>
          <w:rStyle w:val="default"/>
          <w:rFonts w:cs="FrankRuehl" w:hint="cs"/>
          <w:rtl/>
        </w:rPr>
        <w:t>(1א)</w:t>
      </w:r>
      <w:r>
        <w:rPr>
          <w:rStyle w:val="default"/>
          <w:rFonts w:cs="FrankRuehl" w:hint="cs"/>
          <w:rtl/>
        </w:rPr>
        <w:tab/>
        <w:t>מקום שנקבעה תקופה קצובה במספר שבועות מיום פלוני, אותו יום לא יבוא במנין;</w:t>
      </w:r>
    </w:p>
    <w:p w:rsidR="00480822" w:rsidRDefault="00480822" w:rsidP="0007774D">
      <w:pPr>
        <w:pStyle w:val="P00"/>
        <w:spacing w:before="72"/>
        <w:ind w:left="624" w:right="1134"/>
        <w:rPr>
          <w:rStyle w:val="default"/>
          <w:rFonts w:cs="FrankRuehl" w:hint="cs"/>
          <w:rtl/>
        </w:rPr>
      </w:pPr>
      <w:r>
        <w:rPr>
          <w:rStyle w:val="default"/>
          <w:rFonts w:cs="FrankRuehl" w:hint="cs"/>
          <w:rtl/>
        </w:rPr>
        <w:t>(1ב)</w:t>
      </w:r>
      <w:r>
        <w:rPr>
          <w:rStyle w:val="default"/>
          <w:rFonts w:cs="FrankRuehl" w:hint="cs"/>
          <w:rtl/>
        </w:rPr>
        <w:tab/>
        <w:t xml:space="preserve">תקופה קצובה במספר חדשים או שנים לאחר אירוע פלוני תסתיים </w:t>
      </w:r>
      <w:r w:rsidR="0007774D">
        <w:rPr>
          <w:rStyle w:val="default"/>
          <w:rFonts w:cs="FrankRuehl" w:hint="cs"/>
          <w:rtl/>
        </w:rPr>
        <w:t>בחודש</w:t>
      </w:r>
      <w:r>
        <w:rPr>
          <w:rStyle w:val="default"/>
          <w:rFonts w:cs="FrankRuehl" w:hint="cs"/>
          <w:rtl/>
        </w:rPr>
        <w:t xml:space="preserve"> האחרון ביום שמספרו בחודש כמספר יום האירוע, ואם היה החודש חסר אותו יום </w:t>
      </w:r>
      <w:r>
        <w:rPr>
          <w:rStyle w:val="default"/>
          <w:rFonts w:cs="FrankRuehl"/>
          <w:rtl/>
        </w:rPr>
        <w:t>–</w:t>
      </w:r>
      <w:r>
        <w:rPr>
          <w:rStyle w:val="default"/>
          <w:rFonts w:cs="FrankRuehl" w:hint="cs"/>
          <w:rtl/>
        </w:rPr>
        <w:t xml:space="preserve"> ביום האחרון של החודש;</w:t>
      </w:r>
    </w:p>
    <w:p w:rsidR="00547F36" w:rsidRDefault="00547F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מקום שנקבעה תקופה, לא תופסק ולא תושפע מכוח העובדה שהיום האחרון לתקופה הוא יום מנוחה, פגרה או שבתון על-פי הוראות דין או תחיקת בטחון, או יום מנוחה של אחת הדתות.</w:t>
      </w:r>
    </w:p>
    <w:p w:rsidR="00547F36" w:rsidRDefault="00547F36">
      <w:pPr>
        <w:pStyle w:val="P00"/>
        <w:spacing w:before="72"/>
        <w:ind w:left="0" w:right="1134"/>
        <w:rPr>
          <w:rStyle w:val="default"/>
          <w:rFonts w:cs="FrankRuehl" w:hint="cs"/>
          <w:rtl/>
        </w:rPr>
      </w:pPr>
      <w:bookmarkStart w:id="10" w:name="Seif5"/>
      <w:bookmarkEnd w:id="10"/>
      <w:r>
        <w:rPr>
          <w:rFonts w:cs="Miriam"/>
          <w:lang w:val="he-IL"/>
        </w:rPr>
        <w:pict>
          <v:rect id="_x0000_s1254" style="position:absolute;left:0;text-align:left;margin-left:464.35pt;margin-top:7.1pt;width:75.05pt;height:10.15pt;z-index:251640320" o:allowincell="f" filled="f" stroked="f" strokecolor="lime" strokeweight=".25pt">
            <v:textbox style="mso-next-textbox:#_x0000_s1254" inset="0,0,0,0">
              <w:txbxContent>
                <w:p w:rsidR="00547F36" w:rsidRDefault="00547F36">
                  <w:pPr>
                    <w:spacing w:line="160" w:lineRule="exact"/>
                    <w:rPr>
                      <w:rFonts w:cs="Miriam" w:hint="cs"/>
                      <w:noProof/>
                      <w:sz w:val="18"/>
                      <w:szCs w:val="18"/>
                      <w:rtl/>
                    </w:rPr>
                  </w:pPr>
                  <w:r>
                    <w:rPr>
                      <w:rFonts w:cs="Miriam" w:hint="cs"/>
                      <w:sz w:val="18"/>
                      <w:szCs w:val="18"/>
                      <w:rtl/>
                    </w:rPr>
                    <w:t>מקום שלא נקבע זמן</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מעשה שלא נקבע, או שלא ניתן, זמן לעשייתו, בתחיקת בטחון, יש לעשותו בכל המהירות הראויה ולחזור ולעשותו כל אימת שנוצרו המסיבות שנקבעו לעשייתו.</w:t>
      </w:r>
    </w:p>
    <w:p w:rsidR="00547F36" w:rsidRDefault="00547F36" w:rsidP="00441B48">
      <w:pPr>
        <w:pStyle w:val="P00"/>
        <w:spacing w:before="72"/>
        <w:ind w:left="0" w:right="1134"/>
        <w:rPr>
          <w:rStyle w:val="default"/>
          <w:rFonts w:cs="FrankRuehl" w:hint="cs"/>
          <w:rtl/>
        </w:rPr>
      </w:pPr>
      <w:bookmarkStart w:id="11" w:name="Seif6"/>
      <w:bookmarkEnd w:id="11"/>
      <w:r>
        <w:rPr>
          <w:rFonts w:cs="Miriam"/>
          <w:lang w:val="he-IL"/>
        </w:rPr>
        <w:pict>
          <v:rect id="_x0000_s1255" style="position:absolute;left:0;text-align:left;margin-left:464.35pt;margin-top:7.1pt;width:75.05pt;height:10.15pt;z-index:251641344" o:allowincell="f" filled="f" stroked="f" strokecolor="lime" strokeweight=".25pt">
            <v:textbox style="mso-next-textbox:#_x0000_s1255" inset="0,0,0,0">
              <w:txbxContent>
                <w:p w:rsidR="00547F36" w:rsidRDefault="00547F36">
                  <w:pPr>
                    <w:spacing w:line="160" w:lineRule="exact"/>
                    <w:rPr>
                      <w:rFonts w:cs="Miriam" w:hint="cs"/>
                      <w:noProof/>
                      <w:sz w:val="18"/>
                      <w:szCs w:val="18"/>
                      <w:rtl/>
                    </w:rPr>
                  </w:pPr>
                  <w:r>
                    <w:rPr>
                      <w:rFonts w:cs="Miriam" w:hint="cs"/>
                      <w:sz w:val="18"/>
                      <w:szCs w:val="18"/>
                      <w:rtl/>
                    </w:rPr>
                    <w:t>מדידת מרחק</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מדידת מרחק, לענין תחיקת בטחון, היא בקו ישר על-פני מישור אופקי, אם אין כוונה אחרת משתמעת.</w:t>
      </w:r>
    </w:p>
    <w:p w:rsidR="00547F36" w:rsidRDefault="00547F36">
      <w:pPr>
        <w:pStyle w:val="P00"/>
        <w:spacing w:before="72"/>
        <w:ind w:left="0" w:right="1134"/>
        <w:rPr>
          <w:rStyle w:val="default"/>
          <w:rFonts w:cs="FrankRuehl" w:hint="cs"/>
          <w:rtl/>
        </w:rPr>
      </w:pPr>
      <w:bookmarkStart w:id="12" w:name="Seif7"/>
      <w:bookmarkEnd w:id="12"/>
      <w:r>
        <w:rPr>
          <w:rFonts w:cs="Miriam"/>
          <w:lang w:val="he-IL"/>
        </w:rPr>
        <w:pict>
          <v:rect id="_x0000_s1256" style="position:absolute;left:0;text-align:left;margin-left:464.35pt;margin-top:7.1pt;width:75.05pt;height:10.15pt;z-index:251642368" o:allowincell="f" filled="f" stroked="f" strokecolor="lime" strokeweight=".25pt">
            <v:textbox style="mso-next-textbox:#_x0000_s1256" inset="0,0,0,0">
              <w:txbxContent>
                <w:p w:rsidR="00547F36" w:rsidRDefault="00547F36">
                  <w:pPr>
                    <w:spacing w:line="160" w:lineRule="exact"/>
                    <w:rPr>
                      <w:rFonts w:cs="Miriam" w:hint="cs"/>
                      <w:noProof/>
                      <w:sz w:val="18"/>
                      <w:szCs w:val="18"/>
                      <w:rtl/>
                    </w:rPr>
                  </w:pPr>
                  <w:r>
                    <w:rPr>
                      <w:rFonts w:cs="Miriam" w:hint="cs"/>
                      <w:sz w:val="18"/>
                      <w:szCs w:val="18"/>
                      <w:rtl/>
                    </w:rPr>
                    <w:t>תחולת הגדרות</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מלה או ניב שהוגדרו בתחיקת בטחון והובאו בתחיקת בטחון אחרת שניתנה מכוחה, משמעותם בתחיקה האחרת כמשמעותם בתחיקה המגדירה, כל עוד אין בגוף הענין, או בהקשר, דבר הסותר אותה משמעותה או שאינו מתיישב עמה.</w:t>
      </w:r>
    </w:p>
    <w:p w:rsidR="00547F36" w:rsidRDefault="00547F36">
      <w:pPr>
        <w:pStyle w:val="medium2-header"/>
        <w:keepLines w:val="0"/>
        <w:spacing w:before="72"/>
        <w:ind w:left="0" w:right="1134"/>
        <w:rPr>
          <w:rFonts w:cs="FrankRuehl" w:hint="cs"/>
          <w:noProof/>
          <w:rtl/>
        </w:rPr>
      </w:pPr>
      <w:bookmarkStart w:id="13" w:name="med1"/>
      <w:bookmarkEnd w:id="13"/>
      <w:r>
        <w:rPr>
          <w:rFonts w:cs="FrankRuehl" w:hint="cs"/>
          <w:noProof/>
          <w:rtl/>
        </w:rPr>
        <w:t xml:space="preserve">פרק ב' </w:t>
      </w:r>
      <w:r>
        <w:rPr>
          <w:rFonts w:cs="FrankRuehl" w:hint="cs"/>
          <w:noProof/>
        </w:rPr>
        <w:t>–</w:t>
      </w:r>
      <w:r>
        <w:rPr>
          <w:rFonts w:cs="FrankRuehl" w:hint="cs"/>
          <w:noProof/>
          <w:rtl/>
        </w:rPr>
        <w:t xml:space="preserve"> עדיפות ותחולה</w:t>
      </w:r>
    </w:p>
    <w:p w:rsidR="00547F36" w:rsidRDefault="00547F36">
      <w:pPr>
        <w:pStyle w:val="P00"/>
        <w:spacing w:before="72"/>
        <w:ind w:left="0" w:right="1134"/>
        <w:rPr>
          <w:rStyle w:val="default"/>
          <w:rFonts w:cs="FrankRuehl" w:hint="cs"/>
          <w:rtl/>
        </w:rPr>
      </w:pPr>
      <w:bookmarkStart w:id="14" w:name="Seif8"/>
      <w:bookmarkEnd w:id="14"/>
      <w:r>
        <w:rPr>
          <w:rFonts w:cs="Miriam"/>
          <w:lang w:val="he-IL"/>
        </w:rPr>
        <w:pict>
          <v:rect id="_x0000_s1257" style="position:absolute;left:0;text-align:left;margin-left:464.35pt;margin-top:7.1pt;width:75.05pt;height:22.05pt;z-index:251643392" o:allowincell="f" filled="f" stroked="f" strokecolor="lime" strokeweight=".25pt">
            <v:textbox style="mso-next-textbox:#_x0000_s1257" inset="0,0,0,0">
              <w:txbxContent>
                <w:p w:rsidR="00547F36" w:rsidRDefault="00547F36">
                  <w:pPr>
                    <w:spacing w:line="160" w:lineRule="exact"/>
                    <w:rPr>
                      <w:rFonts w:cs="Miriam" w:hint="cs"/>
                      <w:noProof/>
                      <w:sz w:val="18"/>
                      <w:szCs w:val="18"/>
                      <w:rtl/>
                    </w:rPr>
                  </w:pPr>
                  <w:r>
                    <w:rPr>
                      <w:rFonts w:cs="Miriam" w:hint="cs"/>
                      <w:sz w:val="18"/>
                      <w:szCs w:val="18"/>
                      <w:rtl/>
                    </w:rPr>
                    <w:t>עדיפותה של תחיקת בטחון</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תחיקת בטחון עדיפה על כל דין, אף אם לא בטלה אותו במפורש.</w:t>
      </w:r>
    </w:p>
    <w:p w:rsidR="00547F36" w:rsidRDefault="00547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תחיקת בטחון, שניתנה על-ידי מפקד כוחות צה"ל באזור, עדיפה על תחיקת בטחון שניתנה על-ידי מפקד צבאי או על-ידי רשות אחרת הפועלת מטעם מפקד כוחות צה"ל באזור, אף אם לא ביטלה אותה במפורש.</w:t>
      </w:r>
    </w:p>
    <w:p w:rsidR="00AC41E7" w:rsidRDefault="00AC41E7">
      <w:pPr>
        <w:pStyle w:val="P00"/>
        <w:spacing w:before="72"/>
        <w:ind w:left="0" w:right="1134"/>
        <w:rPr>
          <w:rStyle w:val="default"/>
          <w:rFonts w:cs="FrankRuehl" w:hint="cs"/>
          <w:rtl/>
        </w:rPr>
      </w:pPr>
      <w:r>
        <w:rPr>
          <w:rStyle w:val="default"/>
          <w:rFonts w:cs="FrankRuehl" w:hint="cs"/>
          <w:rtl/>
        </w:rPr>
        <w:tab/>
        <w:t>(ב1)</w:t>
      </w:r>
      <w:r>
        <w:rPr>
          <w:rStyle w:val="default"/>
          <w:rFonts w:cs="FrankRuehl" w:hint="cs"/>
          <w:rtl/>
        </w:rPr>
        <w:tab/>
        <w:t>תחיקת ביטחון של מפקד כוחות צה"ל באזור או של מפקד צבאי עדיפה על תחיקת ביטחון, שניתנה על ידי אחר, מכוח סמכות שהוענקה לו מכוח סעיף 17(ג).</w:t>
      </w:r>
    </w:p>
    <w:p w:rsidR="00547F36" w:rsidRDefault="00547F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צו זה באות להוסיף על הוראות כל תחיקת בטחון או כל דין ולא לגרוע מהן, כפוף לסעיפים קטנים (א) ו-(ב).</w:t>
      </w:r>
    </w:p>
    <w:p w:rsidR="00547F36" w:rsidRDefault="00547F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הסמכויות שבצו זה באות להוסיף על הסמכויות שיש למפקד כוחות צה"ל באזור, למפקד צבאי או לכל רשות אחרת הפועלת מטעם מפקד כוחות צה"ל באזור, ולא לגרוע מהן, כפוף לסעיפים קטנים (א) ו-(ב).</w:t>
      </w:r>
    </w:p>
    <w:p w:rsidR="00547F36" w:rsidRDefault="00547F3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תחיקת בטחון לא תתפרש כגורעת מהזכויות, מהכוחות, מהסמכויות ומהחסינויות הקיימים בידי מפקד כוחות צה"ל באזור, הנובעות משלטון צה"ל באזור, אלא אם נאמר בה אחרת.</w:t>
      </w:r>
    </w:p>
    <w:p w:rsidR="00547F36" w:rsidRDefault="00547F3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הטלת חובה בתחיקת בטחון אין בה כדי לפטור מקיום חובה על-פי דין, או על-פי תחיקת בטחון אחרת, אלא במידה שנקבע אחרת בתחיקת בטחון וכפוף לסעיף קטן (ב).</w:t>
      </w:r>
    </w:p>
    <w:p w:rsidR="00547F36" w:rsidRDefault="00547F3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מתן רשיון לפי תחיקת בטחון, לגבי איסור, הגבלה או פיקוח, אינו פוטר מהחובה לקבל רשיון לפי דין או תחיקת בטחון אחרת הדורשים זאת, אלא במידה שנקבע אחרת בתחיקת בטחון, וכפוף לסעיף קטן (ב).</w:t>
      </w:r>
    </w:p>
    <w:p w:rsidR="00547F36" w:rsidRDefault="00547F36">
      <w:pPr>
        <w:pStyle w:val="P00"/>
        <w:spacing w:before="72"/>
        <w:ind w:left="0" w:right="1134"/>
        <w:rPr>
          <w:rStyle w:val="default"/>
          <w:rFonts w:cs="FrankRuehl" w:hint="cs"/>
          <w:rtl/>
        </w:rPr>
      </w:pPr>
      <w:bookmarkStart w:id="15" w:name="Seif9"/>
      <w:bookmarkEnd w:id="15"/>
      <w:r>
        <w:rPr>
          <w:rFonts w:cs="Miriam"/>
          <w:lang w:val="he-IL"/>
        </w:rPr>
        <w:pict>
          <v:rect id="_x0000_s1258" style="position:absolute;left:0;text-align:left;margin-left:464.35pt;margin-top:7.1pt;width:75.05pt;height:23.35pt;z-index:251644416" o:allowincell="f" filled="f" stroked="f" strokecolor="lime" strokeweight=".25pt">
            <v:textbox style="mso-next-textbox:#_x0000_s1258" inset="0,0,0,0">
              <w:txbxContent>
                <w:p w:rsidR="00547F36" w:rsidRDefault="00547F36">
                  <w:pPr>
                    <w:spacing w:line="160" w:lineRule="exact"/>
                    <w:rPr>
                      <w:rFonts w:cs="Miriam" w:hint="cs"/>
                      <w:noProof/>
                      <w:sz w:val="18"/>
                      <w:szCs w:val="18"/>
                      <w:rtl/>
                    </w:rPr>
                  </w:pPr>
                  <w:r>
                    <w:rPr>
                      <w:rFonts w:cs="Miriam" w:hint="cs"/>
                      <w:sz w:val="18"/>
                      <w:szCs w:val="18"/>
                      <w:rtl/>
                    </w:rPr>
                    <w:t>תחולתה של תחיקת בטחון</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תחיקת בטחון שניתנה על-ידי מפקד כוחות צה"ל באזור תחול בכל האזור, אלא אם נאמר בה אחרת.</w:t>
      </w:r>
    </w:p>
    <w:p w:rsidR="00925734" w:rsidRDefault="00925734" w:rsidP="00925734">
      <w:pPr>
        <w:pStyle w:val="P00"/>
        <w:spacing w:before="72"/>
        <w:ind w:left="0" w:right="1134"/>
        <w:rPr>
          <w:rStyle w:val="default"/>
          <w:rFonts w:cs="FrankRuehl" w:hint="cs"/>
          <w:rtl/>
        </w:rPr>
      </w:pPr>
      <w:bookmarkStart w:id="16" w:name="Seif28"/>
      <w:bookmarkEnd w:id="16"/>
      <w:r>
        <w:rPr>
          <w:rFonts w:cs="Miriam"/>
          <w:lang w:val="he-IL"/>
        </w:rPr>
        <w:pict>
          <v:rect id="_x0000_s1294" style="position:absolute;left:0;text-align:left;margin-left:464.35pt;margin-top:7.1pt;width:75.05pt;height:13.4pt;z-index:251663872" o:allowincell="f" filled="f" stroked="f" strokecolor="lime" strokeweight=".25pt">
            <v:textbox style="mso-next-textbox:#_x0000_s1294" inset="0,0,0,0">
              <w:txbxContent>
                <w:p w:rsidR="00925734" w:rsidRDefault="00925734" w:rsidP="00925734">
                  <w:pPr>
                    <w:spacing w:line="160" w:lineRule="exact"/>
                    <w:rPr>
                      <w:rFonts w:cs="Miriam" w:hint="cs"/>
                      <w:noProof/>
                      <w:sz w:val="18"/>
                      <w:szCs w:val="18"/>
                      <w:rtl/>
                    </w:rPr>
                  </w:pPr>
                  <w:r>
                    <w:rPr>
                      <w:rFonts w:cs="Miriam" w:hint="cs"/>
                      <w:sz w:val="18"/>
                      <w:szCs w:val="18"/>
                      <w:rtl/>
                    </w:rPr>
                    <w:t>מתן תוקף</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על אף האמור בכל דין, לא ייפסלו כל פעולה או מסמך בתהליך שיפוטי, מעין שיפוטי או מנהלי רק בשל כך שנעשו בשפה העברית.</w:t>
      </w:r>
    </w:p>
    <w:p w:rsidR="00480822" w:rsidRDefault="00480822" w:rsidP="00480822">
      <w:pPr>
        <w:pStyle w:val="P00"/>
        <w:spacing w:before="72"/>
        <w:ind w:left="0" w:right="1134"/>
        <w:rPr>
          <w:rStyle w:val="default"/>
          <w:rFonts w:cs="FrankRuehl" w:hint="cs"/>
          <w:rtl/>
        </w:rPr>
      </w:pPr>
      <w:bookmarkStart w:id="17" w:name="Seif31"/>
      <w:bookmarkEnd w:id="17"/>
      <w:r>
        <w:rPr>
          <w:rFonts w:cs="Miriam"/>
          <w:lang w:val="he-IL"/>
        </w:rPr>
        <w:pict>
          <v:rect id="_x0000_s1306" style="position:absolute;left:0;text-align:left;margin-left:464.35pt;margin-top:7.1pt;width:75.05pt;height:10.45pt;z-index:251666944" o:allowincell="f" filled="f" stroked="f" strokecolor="lime" strokeweight=".25pt">
            <v:textbox style="mso-next-textbox:#_x0000_s1306" inset="0,0,0,0">
              <w:txbxContent>
                <w:p w:rsidR="00480822" w:rsidRDefault="00480822" w:rsidP="00480822">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שעת תחילת תקפה של תחיקת בטחון היא בשעה 00.01 של יום תחילתה.</w:t>
      </w:r>
    </w:p>
    <w:p w:rsidR="00480822" w:rsidRDefault="00480822" w:rsidP="004808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74019">
        <w:rPr>
          <w:rStyle w:val="default"/>
          <w:rFonts w:cs="FrankRuehl" w:hint="cs"/>
          <w:rtl/>
        </w:rPr>
        <w:t xml:space="preserve">תחיקת בטחון שאין תחילת תקפה עם נתינתה, והיא מעניקה סמכות להתקין תקנות או לעשות מינוי או כל דבר למען מטרת תחיקת הבטחון, אפשר להשתמש באותה סמכות </w:t>
      </w:r>
      <w:r w:rsidR="00E74019">
        <w:rPr>
          <w:rStyle w:val="default"/>
          <w:rFonts w:cs="FrankRuehl"/>
          <w:rtl/>
        </w:rPr>
        <w:t>–</w:t>
      </w:r>
      <w:r w:rsidR="00E74019">
        <w:rPr>
          <w:rStyle w:val="default"/>
          <w:rFonts w:cs="FrankRuehl" w:hint="cs"/>
          <w:rtl/>
        </w:rPr>
        <w:t xml:space="preserve"> אם אין כוונה אחרת משתמעת </w:t>
      </w:r>
      <w:r w:rsidR="00E74019">
        <w:rPr>
          <w:rStyle w:val="default"/>
          <w:rFonts w:cs="FrankRuehl"/>
          <w:rtl/>
        </w:rPr>
        <w:t>–</w:t>
      </w:r>
      <w:r w:rsidR="00E74019">
        <w:rPr>
          <w:rStyle w:val="default"/>
          <w:rFonts w:cs="FrankRuehl" w:hint="cs"/>
          <w:rtl/>
        </w:rPr>
        <w:t xml:space="preserve"> בכל שעה לאחר ניתנתה של תחיקת הבטחון, במידה שהדבר נראה דרוש או ראוי כדי להפעיל את תחיקת הבטחון ביום תחילת תקפה; ואולם כל תקנה וכל מינוי וכל דבר שנעשו בכוח אותה סמכות לא יהיה להם תוקף עד יום תחילת תקפה של תחיקת הבטחון, אלא אם הייתה כוונה אחרת משתמעת מתוך תחיקת הבטחון, או אם היו התקנה, המינוי או הדבר דרושים להפעלת תחיקת הבטחון.</w:t>
      </w:r>
    </w:p>
    <w:p w:rsidR="00480822" w:rsidRDefault="00480822" w:rsidP="00BD0195">
      <w:pPr>
        <w:pStyle w:val="P00"/>
        <w:spacing w:before="72"/>
        <w:ind w:left="0" w:right="1134"/>
        <w:rPr>
          <w:rStyle w:val="default"/>
          <w:rFonts w:cs="FrankRuehl" w:hint="cs"/>
          <w:rtl/>
        </w:rPr>
      </w:pPr>
      <w:bookmarkStart w:id="18" w:name="Seif32"/>
      <w:bookmarkEnd w:id="18"/>
      <w:r>
        <w:rPr>
          <w:rFonts w:cs="Miriam"/>
          <w:lang w:val="he-IL"/>
        </w:rPr>
        <w:pict>
          <v:rect id="_x0000_s1307" style="position:absolute;left:0;text-align:left;margin-left:464.35pt;margin-top:7.1pt;width:75.05pt;height:18.95pt;z-index:251667968" o:allowincell="f" filled="f" stroked="f" strokecolor="lime" strokeweight=".25pt">
            <v:textbox style="mso-next-textbox:#_x0000_s1307" inset="0,0,0,0">
              <w:txbxContent>
                <w:p w:rsidR="00480822" w:rsidRDefault="00BD0195" w:rsidP="00480822">
                  <w:pPr>
                    <w:spacing w:line="160" w:lineRule="exact"/>
                    <w:rPr>
                      <w:rFonts w:cs="Miriam" w:hint="cs"/>
                      <w:noProof/>
                      <w:sz w:val="18"/>
                      <w:szCs w:val="18"/>
                      <w:rtl/>
                    </w:rPr>
                  </w:pPr>
                  <w:r>
                    <w:rPr>
                      <w:rFonts w:cs="Miriam" w:hint="cs"/>
                      <w:sz w:val="18"/>
                      <w:szCs w:val="18"/>
                      <w:rtl/>
                    </w:rPr>
                    <w:t>הדין ותחיקת הבטחון הם כמפורסמות</w:t>
                  </w:r>
                </w:p>
              </w:txbxContent>
            </v:textbox>
            <w10:anchorlock/>
          </v:rect>
        </w:pict>
      </w:r>
      <w:r>
        <w:rPr>
          <w:rStyle w:val="big-number"/>
          <w:rFonts w:cs="Miriam" w:hint="cs"/>
          <w:rtl/>
        </w:rPr>
        <w:t>9</w:t>
      </w:r>
      <w:r w:rsidR="00BD0195">
        <w:rPr>
          <w:rStyle w:val="default"/>
          <w:rFonts w:cs="FrankRuehl" w:hint="cs"/>
          <w:rtl/>
        </w:rPr>
        <w:t>ג</w:t>
      </w:r>
      <w:r>
        <w:rPr>
          <w:rStyle w:val="default"/>
          <w:rFonts w:cs="FrankRuehl"/>
          <w:rtl/>
        </w:rPr>
        <w:t>.</w:t>
      </w:r>
      <w:r>
        <w:rPr>
          <w:rStyle w:val="default"/>
          <w:rFonts w:cs="FrankRuehl"/>
          <w:rtl/>
        </w:rPr>
        <w:tab/>
      </w:r>
      <w:r w:rsidR="00BD0195">
        <w:rPr>
          <w:rStyle w:val="default"/>
          <w:rFonts w:cs="FrankRuehl" w:hint="cs"/>
          <w:rtl/>
        </w:rPr>
        <w:t>כל דין ותחיקת בטחון הם מן המפורסמות שאינן צריכות ראיה, אם אין הוראה אחרת משתמעת</w:t>
      </w:r>
      <w:r>
        <w:rPr>
          <w:rStyle w:val="default"/>
          <w:rFonts w:cs="FrankRuehl" w:hint="cs"/>
          <w:rtl/>
        </w:rPr>
        <w:t>.</w:t>
      </w:r>
    </w:p>
    <w:p w:rsidR="003F30B4" w:rsidRDefault="003F30B4" w:rsidP="00A123BF">
      <w:pPr>
        <w:pStyle w:val="P00"/>
        <w:spacing w:before="72"/>
        <w:ind w:left="0" w:right="1134"/>
        <w:rPr>
          <w:rStyle w:val="default"/>
          <w:rFonts w:cs="FrankRuehl" w:hint="cs"/>
          <w:rtl/>
        </w:rPr>
      </w:pPr>
      <w:bookmarkStart w:id="19" w:name="Seif40"/>
      <w:bookmarkEnd w:id="19"/>
      <w:r>
        <w:rPr>
          <w:rFonts w:cs="Miriam"/>
          <w:lang w:val="he-IL"/>
        </w:rPr>
        <w:pict>
          <v:rect id="_x0000_s1320" style="position:absolute;left:0;text-align:left;margin-left:464.35pt;margin-top:7.1pt;width:75.05pt;height:13pt;z-index:251676160" o:allowincell="f" filled="f" stroked="f" strokecolor="lime" strokeweight=".25pt">
            <v:textbox style="mso-next-textbox:#_x0000_s1320" inset="0,0,0,0">
              <w:txbxContent>
                <w:p w:rsidR="003F30B4" w:rsidRDefault="00A123BF" w:rsidP="003F30B4">
                  <w:pPr>
                    <w:spacing w:line="160" w:lineRule="exact"/>
                    <w:rPr>
                      <w:rFonts w:cs="Miriam" w:hint="cs"/>
                      <w:sz w:val="18"/>
                      <w:szCs w:val="18"/>
                      <w:rtl/>
                    </w:rPr>
                  </w:pPr>
                  <w:r>
                    <w:rPr>
                      <w:rFonts w:cs="Miriam" w:hint="cs"/>
                      <w:sz w:val="18"/>
                      <w:szCs w:val="18"/>
                      <w:rtl/>
                    </w:rPr>
                    <w:t>חוק נסתר</w:t>
                  </w:r>
                </w:p>
              </w:txbxContent>
            </v:textbox>
            <w10:anchorlock/>
          </v:rect>
        </w:pict>
      </w:r>
      <w:r>
        <w:rPr>
          <w:rStyle w:val="big-number"/>
          <w:rFonts w:cs="Miriam" w:hint="cs"/>
          <w:rtl/>
        </w:rPr>
        <w:t>9</w:t>
      </w:r>
      <w:r w:rsidR="00A123BF">
        <w:rPr>
          <w:rStyle w:val="default"/>
          <w:rFonts w:cs="FrankRuehl" w:hint="cs"/>
          <w:rtl/>
        </w:rPr>
        <w:t>ד</w:t>
      </w:r>
      <w:r>
        <w:rPr>
          <w:rStyle w:val="default"/>
          <w:rFonts w:cs="FrankRuehl"/>
          <w:rtl/>
        </w:rPr>
        <w:t>.</w:t>
      </w:r>
      <w:r>
        <w:rPr>
          <w:rStyle w:val="default"/>
          <w:rFonts w:cs="FrankRuehl"/>
          <w:rtl/>
        </w:rPr>
        <w:tab/>
      </w:r>
      <w:r w:rsidR="00A123BF">
        <w:rPr>
          <w:rStyle w:val="default"/>
          <w:rFonts w:cs="FrankRuehl" w:hint="cs"/>
          <w:rtl/>
        </w:rPr>
        <w:t>(א)</w:t>
      </w:r>
      <w:r w:rsidR="00A123BF">
        <w:rPr>
          <w:rStyle w:val="default"/>
          <w:rFonts w:cs="FrankRuehl" w:hint="cs"/>
          <w:rtl/>
        </w:rPr>
        <w:tab/>
        <w:t xml:space="preserve">בסעיף זה </w:t>
      </w:r>
      <w:r w:rsidR="00A123BF">
        <w:rPr>
          <w:rStyle w:val="default"/>
          <w:rFonts w:cs="FrankRuehl"/>
          <w:rtl/>
        </w:rPr>
        <w:t>–</w:t>
      </w:r>
    </w:p>
    <w:p w:rsidR="00A123BF" w:rsidRDefault="00A123BF" w:rsidP="00A123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"העתון הרשמי" </w:t>
      </w:r>
      <w:r>
        <w:rPr>
          <w:rStyle w:val="default"/>
          <w:rFonts w:cs="FrankRuehl"/>
          <w:rtl/>
        </w:rPr>
        <w:t>–</w:t>
      </w:r>
      <w:r>
        <w:rPr>
          <w:rStyle w:val="default"/>
          <w:rFonts w:cs="FrankRuehl" w:hint="cs"/>
          <w:rtl/>
        </w:rPr>
        <w:t xml:space="preserve"> כמשמעותו בפקודת הפירושים, 1945;</w:t>
      </w:r>
    </w:p>
    <w:p w:rsidR="00A123BF" w:rsidRDefault="00A123BF" w:rsidP="00A123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"חוק נסתר" </w:t>
      </w:r>
      <w:r>
        <w:rPr>
          <w:rStyle w:val="default"/>
          <w:rFonts w:cs="FrankRuehl"/>
          <w:rtl/>
        </w:rPr>
        <w:t>–</w:t>
      </w:r>
      <w:r>
        <w:rPr>
          <w:rStyle w:val="default"/>
          <w:rFonts w:cs="FrankRuehl" w:hint="cs"/>
          <w:rtl/>
        </w:rPr>
        <w:t xml:space="preserve"> מעשה חקיקה כל שהוא, שדימו לחוקקו לגבי האזור בתקופה שבין ט"ז בכסלו תש"ח (29 בנובמבר 1947) ובין ו' באייר תש"ח (15 במאי 1948) ושלא פורסם בעתון הרשמי, למרות היותו נמנה עם סוג מעשי החקיקה שפרסומם בעתון הרשמי היה, עובר לאותה תקופה, חובה או מנהג.</w:t>
      </w:r>
    </w:p>
    <w:p w:rsidR="00A123BF" w:rsidRDefault="00A123BF" w:rsidP="00A123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כדי להסיר ספק, נאמר בזה כי חוק נסתר אין לו ומעולם לא היה לו כל תוקף.</w:t>
      </w:r>
    </w:p>
    <w:p w:rsidR="003F30B4" w:rsidRDefault="003F30B4" w:rsidP="00A123BF">
      <w:pPr>
        <w:pStyle w:val="P00"/>
        <w:spacing w:before="72"/>
        <w:ind w:left="0" w:right="1134"/>
        <w:rPr>
          <w:rStyle w:val="default"/>
          <w:rFonts w:cs="FrankRuehl" w:hint="cs"/>
          <w:rtl/>
        </w:rPr>
      </w:pPr>
      <w:bookmarkStart w:id="20" w:name="Seif41"/>
      <w:bookmarkEnd w:id="20"/>
      <w:r>
        <w:rPr>
          <w:rFonts w:cs="Miriam"/>
          <w:lang w:val="he-IL"/>
        </w:rPr>
        <w:pict>
          <v:rect id="_x0000_s1321" style="position:absolute;left:0;text-align:left;margin-left:464.35pt;margin-top:7.1pt;width:75.05pt;height:12.3pt;z-index:251677184" o:allowincell="f" filled="f" stroked="f" strokecolor="lime" strokeweight=".25pt">
            <v:textbox style="mso-next-textbox:#_x0000_s1321" inset="0,0,0,0">
              <w:txbxContent>
                <w:p w:rsidR="003F30B4" w:rsidRDefault="00A123BF" w:rsidP="003F30B4">
                  <w:pPr>
                    <w:spacing w:line="160" w:lineRule="exact"/>
                    <w:rPr>
                      <w:rFonts w:cs="Miriam" w:hint="cs"/>
                      <w:sz w:val="18"/>
                      <w:szCs w:val="18"/>
                      <w:rtl/>
                    </w:rPr>
                  </w:pPr>
                  <w:r>
                    <w:rPr>
                      <w:rFonts w:cs="Miriam" w:hint="cs"/>
                      <w:sz w:val="18"/>
                      <w:szCs w:val="18"/>
                      <w:rtl/>
                    </w:rPr>
                    <w:t>תחיקת שעת חירום</w:t>
                  </w:r>
                </w:p>
              </w:txbxContent>
            </v:textbox>
            <w10:anchorlock/>
          </v:rect>
        </w:pict>
      </w:r>
      <w:r>
        <w:rPr>
          <w:rStyle w:val="big-number"/>
          <w:rFonts w:cs="Miriam" w:hint="cs"/>
          <w:rtl/>
        </w:rPr>
        <w:t>9</w:t>
      </w:r>
      <w:r w:rsidR="00A123BF">
        <w:rPr>
          <w:rStyle w:val="default"/>
          <w:rFonts w:cs="FrankRuehl" w:hint="cs"/>
          <w:rtl/>
        </w:rPr>
        <w:t>ה</w:t>
      </w:r>
      <w:r>
        <w:rPr>
          <w:rStyle w:val="default"/>
          <w:rFonts w:cs="FrankRuehl"/>
          <w:rtl/>
        </w:rPr>
        <w:t>.</w:t>
      </w:r>
      <w:r>
        <w:rPr>
          <w:rStyle w:val="default"/>
          <w:rFonts w:cs="FrankRuehl"/>
          <w:rtl/>
        </w:rPr>
        <w:tab/>
      </w:r>
      <w:r w:rsidR="00A123BF">
        <w:rPr>
          <w:rStyle w:val="default"/>
          <w:rFonts w:cs="FrankRuehl" w:hint="cs"/>
          <w:rtl/>
        </w:rPr>
        <w:t>(א)</w:t>
      </w:r>
      <w:r w:rsidR="00A123BF">
        <w:rPr>
          <w:rStyle w:val="default"/>
          <w:rFonts w:cs="FrankRuehl" w:hint="cs"/>
          <w:rtl/>
        </w:rPr>
        <w:tab/>
        <w:t xml:space="preserve">בסעיף זה </w:t>
      </w:r>
      <w:r w:rsidR="00A123BF">
        <w:rPr>
          <w:rStyle w:val="default"/>
          <w:rFonts w:cs="FrankRuehl"/>
          <w:rtl/>
        </w:rPr>
        <w:t>–</w:t>
      </w:r>
      <w:r w:rsidR="00A123BF">
        <w:rPr>
          <w:rStyle w:val="default"/>
          <w:rFonts w:cs="FrankRuehl" w:hint="cs"/>
          <w:rtl/>
        </w:rPr>
        <w:t xml:space="preserve"> "תחיקת שעות חירום" </w:t>
      </w:r>
      <w:r w:rsidR="00A123BF">
        <w:rPr>
          <w:rStyle w:val="default"/>
          <w:rFonts w:cs="FrankRuehl"/>
          <w:rtl/>
        </w:rPr>
        <w:t>–</w:t>
      </w:r>
      <w:r w:rsidR="00A123BF">
        <w:rPr>
          <w:rStyle w:val="default"/>
          <w:rFonts w:cs="FrankRuehl" w:hint="cs"/>
          <w:rtl/>
        </w:rPr>
        <w:t xml:space="preserve"> כמשמעותה בתקנה 3 לתקנות ההגנה (שעת חירום), 1945</w:t>
      </w:r>
      <w:r>
        <w:rPr>
          <w:rStyle w:val="default"/>
          <w:rFonts w:cs="FrankRuehl" w:hint="cs"/>
          <w:rtl/>
        </w:rPr>
        <w:t>.</w:t>
      </w:r>
    </w:p>
    <w:p w:rsidR="00A123BF" w:rsidRDefault="00A123BF" w:rsidP="00A123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הסרת ספק מובהר בזה, כי תחיקת שעת חירום איננה מתבטלת מכללא על ידי תחיקה מאוחרת שאיננה תחיקת שעת חירום.</w:t>
      </w:r>
    </w:p>
    <w:p w:rsidR="00A123BF" w:rsidRDefault="00A123BF" w:rsidP="00A123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תחיקת שעת חירום מתבטלת רק על ידי חקיקה הקובעת מפורשות, ותוך אזכור שמה, את דבר ביטולה.</w:t>
      </w:r>
    </w:p>
    <w:p w:rsidR="00A123BF" w:rsidRDefault="00A123BF" w:rsidP="00A123B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תחיקת שעת חירום אשר היתה בתוקף באזור אחרי יום ה' באייר תש"ח (14 במאי 1948) תמשיך לעמוד בתוקפה מן היום הקובע ואילך, כאילו חוקקה כתחיקת בטחון, אלא אם בוטלה מפורשות ותוך אזכור שמה כאמור בסעיף 2(ב), לפני היום הקובע או אחריו.</w:t>
      </w:r>
    </w:p>
    <w:p w:rsidR="00547F36" w:rsidRDefault="00547F36">
      <w:pPr>
        <w:pStyle w:val="medium2-header"/>
        <w:keepLines w:val="0"/>
        <w:spacing w:before="72"/>
        <w:ind w:left="0" w:right="1134"/>
        <w:rPr>
          <w:rFonts w:cs="FrankRuehl" w:hint="cs"/>
          <w:noProof/>
          <w:rtl/>
        </w:rPr>
      </w:pPr>
      <w:bookmarkStart w:id="21" w:name="med2"/>
      <w:bookmarkEnd w:id="21"/>
      <w:r>
        <w:rPr>
          <w:rFonts w:cs="FrankRuehl" w:hint="cs"/>
          <w:noProof/>
          <w:rtl/>
        </w:rPr>
        <w:t xml:space="preserve">פרק ג' </w:t>
      </w:r>
      <w:r>
        <w:rPr>
          <w:rFonts w:cs="FrankRuehl"/>
          <w:noProof/>
          <w:rtl/>
        </w:rPr>
        <w:t>–</w:t>
      </w:r>
      <w:r>
        <w:rPr>
          <w:rFonts w:cs="FrankRuehl" w:hint="cs"/>
          <w:noProof/>
          <w:rtl/>
        </w:rPr>
        <w:t xml:space="preserve"> ביטולים</w:t>
      </w:r>
    </w:p>
    <w:p w:rsidR="00547F36" w:rsidRDefault="00547F36">
      <w:pPr>
        <w:pStyle w:val="P00"/>
        <w:spacing w:before="72"/>
        <w:ind w:left="0" w:right="1134"/>
        <w:rPr>
          <w:rStyle w:val="default"/>
          <w:rFonts w:cs="FrankRuehl" w:hint="cs"/>
          <w:rtl/>
        </w:rPr>
      </w:pPr>
      <w:bookmarkStart w:id="22" w:name="Seif10"/>
      <w:bookmarkEnd w:id="22"/>
      <w:r>
        <w:rPr>
          <w:rFonts w:cs="Miriam"/>
          <w:lang w:val="he-IL"/>
        </w:rPr>
        <w:pict>
          <v:rect id="_x0000_s1259" style="position:absolute;left:0;text-align:left;margin-left:464.35pt;margin-top:7.1pt;width:75.05pt;height:19.85pt;z-index:251645440" o:allowincell="f" filled="f" stroked="f" strokecolor="lime" strokeweight=".25pt">
            <v:textbox style="mso-next-textbox:#_x0000_s1259" inset="0,0,0,0">
              <w:txbxContent>
                <w:p w:rsidR="00547F36" w:rsidRDefault="00547F36">
                  <w:pPr>
                    <w:spacing w:line="160" w:lineRule="exact"/>
                    <w:rPr>
                      <w:rFonts w:cs="Miriam" w:hint="cs"/>
                      <w:noProof/>
                      <w:sz w:val="18"/>
                      <w:szCs w:val="18"/>
                      <w:rtl/>
                    </w:rPr>
                  </w:pPr>
                  <w:r>
                    <w:rPr>
                      <w:rFonts w:cs="Miriam" w:hint="cs"/>
                      <w:sz w:val="18"/>
                      <w:szCs w:val="18"/>
                      <w:rtl/>
                    </w:rPr>
                    <w:t>סמכות שינוי או ביטול</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הסמכות ליתן תחיקת בטחון תתפרש ככוללת את הסמכות לבטלה, לשנותה, או להפסיקה לשעה.</w:t>
      </w:r>
    </w:p>
    <w:p w:rsidR="00547F36" w:rsidRDefault="00547F36" w:rsidP="00A123BF">
      <w:pPr>
        <w:pStyle w:val="P00"/>
        <w:spacing w:before="72"/>
        <w:ind w:left="0" w:right="1134"/>
        <w:rPr>
          <w:rStyle w:val="default"/>
          <w:rFonts w:cs="FrankRuehl" w:hint="cs"/>
          <w:rtl/>
        </w:rPr>
      </w:pPr>
      <w:bookmarkStart w:id="23" w:name="Seif11"/>
      <w:bookmarkEnd w:id="23"/>
      <w:r>
        <w:rPr>
          <w:rFonts w:cs="Miriam"/>
          <w:lang w:val="he-IL"/>
        </w:rPr>
        <w:pict>
          <v:rect id="_x0000_s1260" style="position:absolute;left:0;text-align:left;margin-left:464.35pt;margin-top:7.1pt;width:75.05pt;height:22.9pt;z-index:251646464" o:allowincell="f" filled="f" stroked="f" strokecolor="lime" strokeweight=".25pt">
            <v:textbox style="mso-next-textbox:#_x0000_s1260" inset="0,0,0,0">
              <w:txbxContent>
                <w:p w:rsidR="00547F36" w:rsidRDefault="00547F36">
                  <w:pPr>
                    <w:spacing w:line="160" w:lineRule="exact"/>
                    <w:rPr>
                      <w:rFonts w:cs="Miriam" w:hint="cs"/>
                      <w:noProof/>
                      <w:sz w:val="18"/>
                      <w:szCs w:val="18"/>
                      <w:rtl/>
                    </w:rPr>
                  </w:pPr>
                  <w:r>
                    <w:rPr>
                      <w:rFonts w:cs="Miriam" w:hint="cs"/>
                      <w:sz w:val="18"/>
                      <w:szCs w:val="18"/>
                      <w:rtl/>
                    </w:rPr>
                    <w:t>ביטול של תחיקת בטחון מבטלת</w:t>
                  </w:r>
                </w:p>
              </w:txbxContent>
            </v:textbox>
            <w10:anchorlock/>
          </v:rect>
        </w:pict>
      </w:r>
      <w:r>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בוטלה תחיקת בטחון שהיא גופה מבטלת דין או תחיקת בטחון, אין ביטול אחרון מחיי</w:t>
      </w:r>
      <w:r w:rsidR="00A123BF">
        <w:rPr>
          <w:rStyle w:val="default"/>
          <w:rFonts w:cs="FrankRuehl" w:hint="cs"/>
          <w:rtl/>
        </w:rPr>
        <w:t>ה</w:t>
      </w:r>
      <w:r>
        <w:rPr>
          <w:rStyle w:val="default"/>
          <w:rFonts w:cs="FrankRuehl" w:hint="cs"/>
          <w:rtl/>
        </w:rPr>
        <w:t xml:space="preserve"> את הדין או את תחיקת הבטחון שבוטלו קודם לכן, אלא אם הוסיפו לביטול האחרון מ</w:t>
      </w:r>
      <w:r w:rsidR="00A123BF">
        <w:rPr>
          <w:rStyle w:val="default"/>
          <w:rFonts w:cs="FrankRuehl" w:hint="cs"/>
          <w:rtl/>
        </w:rPr>
        <w:t>י</w:t>
      </w:r>
      <w:r>
        <w:rPr>
          <w:rStyle w:val="default"/>
          <w:rFonts w:cs="FrankRuehl" w:hint="cs"/>
          <w:rtl/>
        </w:rPr>
        <w:t>לים המחייות אותם.</w:t>
      </w:r>
    </w:p>
    <w:p w:rsidR="00547F36" w:rsidRDefault="00547F36">
      <w:pPr>
        <w:pStyle w:val="P00"/>
        <w:spacing w:before="72"/>
        <w:ind w:left="0" w:right="1134"/>
        <w:rPr>
          <w:rStyle w:val="default"/>
          <w:rFonts w:cs="FrankRuehl" w:hint="cs"/>
          <w:rtl/>
        </w:rPr>
      </w:pPr>
      <w:bookmarkStart w:id="24" w:name="Seif12"/>
      <w:bookmarkEnd w:id="24"/>
      <w:r>
        <w:rPr>
          <w:rFonts w:cs="Miriam"/>
          <w:lang w:val="he-IL"/>
        </w:rPr>
        <w:pict>
          <v:rect id="_x0000_s1261" style="position:absolute;left:0;text-align:left;margin-left:464.35pt;margin-top:7.1pt;width:75.05pt;height:10.15pt;z-index:251647488" o:allowincell="f" filled="f" stroked="f" strokecolor="lime" strokeweight=".25pt">
            <v:textbox style="mso-next-textbox:#_x0000_s1261" inset="0,0,0,0">
              <w:txbxContent>
                <w:p w:rsidR="00547F36" w:rsidRDefault="00547F36">
                  <w:pPr>
                    <w:spacing w:line="160" w:lineRule="exact"/>
                    <w:rPr>
                      <w:rFonts w:cs="Miriam" w:hint="cs"/>
                      <w:noProof/>
                      <w:sz w:val="18"/>
                      <w:szCs w:val="18"/>
                      <w:rtl/>
                    </w:rPr>
                  </w:pPr>
                  <w:r>
                    <w:rPr>
                      <w:rFonts w:cs="Miriam" w:hint="cs"/>
                      <w:sz w:val="18"/>
                      <w:szCs w:val="18"/>
                      <w:rtl/>
                    </w:rPr>
                    <w:t>ביטול ותמורתו</w:t>
                  </w:r>
                </w:p>
              </w:txbxContent>
            </v:textbox>
            <w10:anchorlock/>
          </v:rect>
        </w:pict>
      </w:r>
      <w:r>
        <w:rPr>
          <w:rStyle w:val="big-number"/>
          <w:rFonts w:cs="Miriam" w:hint="cs"/>
          <w:rtl/>
        </w:rPr>
        <w:t>12</w:t>
      </w:r>
      <w:r>
        <w:rPr>
          <w:rStyle w:val="default"/>
          <w:rFonts w:cs="FrankRuehl"/>
          <w:rtl/>
        </w:rPr>
        <w:t>.</w:t>
      </w:r>
      <w:r>
        <w:rPr>
          <w:rStyle w:val="default"/>
          <w:rFonts w:cs="FrankRuehl"/>
          <w:rtl/>
        </w:rPr>
        <w:tab/>
      </w:r>
      <w:r>
        <w:rPr>
          <w:rStyle w:val="default"/>
          <w:rFonts w:cs="FrankRuehl" w:hint="cs"/>
          <w:rtl/>
        </w:rPr>
        <w:t xml:space="preserve">תחיקת </w:t>
      </w:r>
      <w:r w:rsidR="00CD4765">
        <w:rPr>
          <w:rStyle w:val="default"/>
          <w:rFonts w:cs="FrankRuehl" w:hint="cs"/>
          <w:rtl/>
        </w:rPr>
        <w:t>ה</w:t>
      </w:r>
      <w:r>
        <w:rPr>
          <w:rStyle w:val="default"/>
          <w:rFonts w:cs="FrankRuehl" w:hint="cs"/>
          <w:rtl/>
        </w:rPr>
        <w:t>בטחון שביטלה דין או תחיקת בטחון וקבעה תחתיהם הוראות אחרות, הדין או תחיקת הבטחון שבוטלו יעמדו בתוקפם עד תחילתן של ההוראות שבאו תחתיהם; והוא כשאין כוונה אחרת משתמעת.</w:t>
      </w:r>
    </w:p>
    <w:p w:rsidR="00547F36" w:rsidRDefault="00547F36">
      <w:pPr>
        <w:pStyle w:val="P00"/>
        <w:spacing w:before="72"/>
        <w:ind w:left="0" w:right="1134"/>
        <w:rPr>
          <w:rStyle w:val="default"/>
          <w:rFonts w:cs="FrankRuehl" w:hint="cs"/>
          <w:rtl/>
        </w:rPr>
      </w:pPr>
      <w:bookmarkStart w:id="25" w:name="Seif13"/>
      <w:bookmarkEnd w:id="25"/>
      <w:r>
        <w:rPr>
          <w:rFonts w:cs="Miriam"/>
          <w:lang w:val="he-IL"/>
        </w:rPr>
        <w:pict>
          <v:rect id="_x0000_s1262" style="position:absolute;left:0;text-align:left;margin-left:464.35pt;margin-top:7.1pt;width:75.05pt;height:10.15pt;z-index:251648512" o:allowincell="f" filled="f" stroked="f" strokecolor="lime" strokeweight=".25pt">
            <v:textbox style="mso-next-textbox:#_x0000_s1262" inset="0,0,0,0">
              <w:txbxContent>
                <w:p w:rsidR="00547F36" w:rsidRDefault="00547F36">
                  <w:pPr>
                    <w:spacing w:line="160" w:lineRule="exact"/>
                    <w:rPr>
                      <w:rFonts w:cs="Miriam" w:hint="cs"/>
                      <w:noProof/>
                      <w:sz w:val="18"/>
                      <w:szCs w:val="18"/>
                      <w:rtl/>
                    </w:rPr>
                  </w:pPr>
                  <w:r>
                    <w:rPr>
                      <w:rFonts w:cs="Miriam" w:hint="cs"/>
                      <w:sz w:val="18"/>
                      <w:szCs w:val="18"/>
                      <w:rtl/>
                    </w:rPr>
                    <w:t>פועלו של ביטול</w:t>
                  </w:r>
                </w:p>
              </w:txbxContent>
            </v:textbox>
            <w10:anchorlock/>
          </v:rect>
        </w:pict>
      </w:r>
      <w:r>
        <w:rPr>
          <w:rStyle w:val="big-number"/>
          <w:rFonts w:cs="Miriam" w:hint="cs"/>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תחיקת בטחון שביטלה דין או תחיקת בטחון וחזרה וחוקקה אותה הוראה, בשינויים או בלי שינויים, כל מקום בדין, או בתחיקת בטחון אחרת, המאזכר את ההוראה שבוטלה, יתפרש כמאזכר את ההוראה שחזרו וחוקקוה כאמור; והוא כשאין כוונה אחרת משתמעת.</w:t>
      </w:r>
    </w:p>
    <w:p w:rsidR="00547F36" w:rsidRDefault="00547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תחיקת בטחון המבטלת דין או תחיקת בטחון, אין כוחו של הביטול יפה </w:t>
      </w:r>
      <w:r>
        <w:rPr>
          <w:rStyle w:val="default"/>
          <w:rFonts w:cs="FrankRuehl"/>
          <w:rtl/>
        </w:rPr>
        <w:t>–</w:t>
      </w:r>
    </w:p>
    <w:p w:rsidR="00547F36" w:rsidRDefault="00547F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להשפיע על פעולה קודמת של הדין או של תחיקת הבטחון המבוטלים, או על מה שנעשה או נגרם כשורה לפיהם;</w:t>
      </w:r>
    </w:p>
    <w:p w:rsidR="00547F36" w:rsidRDefault="00547F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להשפיע על זכות או על זכות-יתר שנרכשה או שנולדה לפי הדין או לפי תחיקת הבטחון המבוטלים, או על התחייבות, על חבות או על אחריות שחלו לפיהם;</w:t>
      </w:r>
    </w:p>
    <w:p w:rsidR="00547F36" w:rsidRDefault="00547F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להשפיע על עונש, חילוט או ענישה הצפויים בשל עבירה שנעברה על הדין או על תחיקת הבטחון המבוטלים;</w:t>
      </w:r>
    </w:p>
    <w:p w:rsidR="00547F36" w:rsidRDefault="00547F3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להשפיע על חקירה, על הליך משפטי או על סעד משפטי, בענין זכות, זכות-יתר, התחייבות, חבות, אחריות, עונש, חילוט או ענישה, כאמור; ומותר לפתוח בחקירה, או בהליך, או בסעד, או להמשיך בהם, או לבצע אותם, ומותר להטיל את העונש, החילוט או הענישה, כאילו לא ניתנה תחיקת הבטחון המבטלת;</w:t>
      </w:r>
    </w:p>
    <w:p w:rsidR="00547F36" w:rsidRDefault="00547F36">
      <w:pPr>
        <w:pStyle w:val="P00"/>
        <w:spacing w:before="72"/>
        <w:ind w:left="1021" w:right="1134"/>
        <w:rPr>
          <w:rStyle w:val="default"/>
          <w:rFonts w:cs="FrankRuehl" w:hint="cs"/>
          <w:rtl/>
        </w:rPr>
      </w:pPr>
      <w:r>
        <w:rPr>
          <w:rStyle w:val="default"/>
          <w:rFonts w:cs="FrankRuehl" w:hint="cs"/>
          <w:rtl/>
        </w:rPr>
        <w:t>והכל כשאין כוונה אחרת משתמעת.</w:t>
      </w:r>
    </w:p>
    <w:p w:rsidR="00547F36" w:rsidRDefault="00547F36">
      <w:pPr>
        <w:pStyle w:val="P00"/>
        <w:spacing w:before="72"/>
        <w:ind w:left="0" w:right="1134"/>
        <w:rPr>
          <w:rStyle w:val="default"/>
          <w:rFonts w:cs="FrankRuehl" w:hint="cs"/>
          <w:rtl/>
        </w:rPr>
      </w:pPr>
      <w:bookmarkStart w:id="26" w:name="Seif27"/>
      <w:bookmarkEnd w:id="26"/>
      <w:r>
        <w:rPr>
          <w:rFonts w:cs="Miriam"/>
          <w:lang w:val="he-IL"/>
        </w:rPr>
        <w:pict>
          <v:rect id="_x0000_s1279" style="position:absolute;left:0;text-align:left;margin-left:464.35pt;margin-top:7.1pt;width:75.05pt;height:20.7pt;z-index:251662848" o:allowincell="f" filled="f" stroked="f" strokecolor="lime" strokeweight=".25pt">
            <v:textbox style="mso-next-textbox:#_x0000_s1279" inset="0,0,0,0">
              <w:txbxContent>
                <w:p w:rsidR="00547F36" w:rsidRDefault="00547F36">
                  <w:pPr>
                    <w:spacing w:line="160" w:lineRule="exact"/>
                    <w:rPr>
                      <w:rFonts w:cs="Miriam" w:hint="cs"/>
                      <w:noProof/>
                      <w:sz w:val="18"/>
                      <w:szCs w:val="18"/>
                      <w:rtl/>
                    </w:rPr>
                  </w:pPr>
                  <w:r>
                    <w:rPr>
                      <w:rFonts w:cs="Miriam" w:hint="cs"/>
                      <w:sz w:val="18"/>
                      <w:szCs w:val="18"/>
                      <w:rtl/>
                    </w:rPr>
                    <w:t>פ</w:t>
                  </w:r>
                  <w:r w:rsidR="004A0302">
                    <w:rPr>
                      <w:rFonts w:cs="Miriam" w:hint="cs"/>
                      <w:sz w:val="18"/>
                      <w:szCs w:val="18"/>
                      <w:rtl/>
                    </w:rPr>
                    <w:t>ו</w:t>
                  </w:r>
                  <w:r>
                    <w:rPr>
                      <w:rFonts w:cs="Miriam" w:hint="cs"/>
                      <w:sz w:val="18"/>
                      <w:szCs w:val="18"/>
                      <w:rtl/>
                    </w:rPr>
                    <w:t>עלו של ביטול לגבי תקנות ומינויים</w:t>
                  </w:r>
                </w:p>
              </w:txbxContent>
            </v:textbox>
            <w10:anchorlock/>
          </v:rect>
        </w:pict>
      </w:r>
      <w:r>
        <w:rPr>
          <w:rStyle w:val="big-number"/>
          <w:rFonts w:cs="Miriam" w:hint="cs"/>
          <w:rtl/>
        </w:rPr>
        <w:t>13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מקום שתחיקת בטחון ביטלה דין או תחיקת בטחון, וקבעה תחתם הוראות אחרות, הרי תחיקת בטחון, תקנות או רשיונות שניתנו ומינויים שנעשו מכוחם של הדין או תחיקת הבטחון המבוטלים, והיה להם תוקף בשעת הביטול, יעמדו בתקפם, במידה שאינם סותרים את הוראות </w:t>
      </w:r>
      <w:r w:rsidR="004A0302">
        <w:rPr>
          <w:rStyle w:val="default"/>
          <w:rFonts w:cs="FrankRuehl" w:hint="cs"/>
          <w:rtl/>
        </w:rPr>
        <w:t>ת</w:t>
      </w:r>
      <w:r>
        <w:rPr>
          <w:rStyle w:val="default"/>
          <w:rFonts w:cs="FrankRuehl" w:hint="cs"/>
          <w:rtl/>
        </w:rPr>
        <w:t>חיקת הבטחון המבטלת, עד שיבוטלו או עד שיוחלפו בתקנות, ומינויים שנעשו לפי תחיקת הבטחון המבטלת, והוא כשאין כוונה אחרת משתמעת.</w:t>
      </w:r>
    </w:p>
    <w:p w:rsidR="00547F36" w:rsidRDefault="00547F36">
      <w:pPr>
        <w:pStyle w:val="medium2-header"/>
        <w:keepLines w:val="0"/>
        <w:spacing w:before="72"/>
        <w:ind w:left="0" w:right="1134"/>
        <w:rPr>
          <w:rFonts w:cs="FrankRuehl" w:hint="cs"/>
          <w:noProof/>
          <w:rtl/>
        </w:rPr>
      </w:pPr>
      <w:bookmarkStart w:id="27" w:name="med3"/>
      <w:bookmarkEnd w:id="27"/>
      <w:r>
        <w:rPr>
          <w:rFonts w:cs="FrankRuehl" w:hint="cs"/>
          <w:noProof/>
          <w:rtl/>
        </w:rPr>
        <w:t xml:space="preserve">פרק ד' </w:t>
      </w:r>
      <w:r>
        <w:rPr>
          <w:rFonts w:cs="FrankRuehl" w:hint="cs"/>
          <w:noProof/>
        </w:rPr>
        <w:t>–</w:t>
      </w:r>
      <w:r>
        <w:rPr>
          <w:rFonts w:cs="FrankRuehl" w:hint="cs"/>
          <w:noProof/>
          <w:rtl/>
        </w:rPr>
        <w:t xml:space="preserve"> סמכויות</w:t>
      </w:r>
    </w:p>
    <w:p w:rsidR="00547F36" w:rsidRDefault="00547F36">
      <w:pPr>
        <w:pStyle w:val="P00"/>
        <w:spacing w:before="72"/>
        <w:ind w:left="0" w:right="1134"/>
        <w:rPr>
          <w:rStyle w:val="default"/>
          <w:rFonts w:cs="FrankRuehl" w:hint="cs"/>
          <w:rtl/>
        </w:rPr>
      </w:pPr>
      <w:bookmarkStart w:id="28" w:name="Seif14"/>
      <w:bookmarkEnd w:id="28"/>
      <w:r>
        <w:rPr>
          <w:rFonts w:cs="Miriam"/>
          <w:lang w:val="he-IL"/>
        </w:rPr>
        <w:pict>
          <v:rect id="_x0000_s1263" style="position:absolute;left:0;text-align:left;margin-left:464.35pt;margin-top:7.1pt;width:75.05pt;height:41.15pt;z-index:251649536" o:allowincell="f" filled="f" stroked="f" strokecolor="lime" strokeweight=".25pt">
            <v:textbox style="mso-next-textbox:#_x0000_s1263" inset="0,0,0,0">
              <w:txbxContent>
                <w:p w:rsidR="00547F36" w:rsidRDefault="00547F36">
                  <w:pPr>
                    <w:spacing w:line="160" w:lineRule="exact"/>
                    <w:rPr>
                      <w:rFonts w:cs="Miriam" w:hint="cs"/>
                      <w:noProof/>
                      <w:sz w:val="18"/>
                      <w:szCs w:val="18"/>
                      <w:rtl/>
                    </w:rPr>
                  </w:pPr>
                  <w:r>
                    <w:rPr>
                      <w:rFonts w:cs="Miriam" w:hint="cs"/>
                      <w:sz w:val="18"/>
                      <w:szCs w:val="18"/>
                      <w:rtl/>
                    </w:rPr>
                    <w:t>מינוי, מתן סמכות, הטלת חובה, בנקיבת שם, או בנקיבת שם התפקיד או המישרה</w:t>
                  </w:r>
                </w:p>
              </w:txbxContent>
            </v:textbox>
            <w10:anchorlock/>
          </v:rect>
        </w:pict>
      </w:r>
      <w:r>
        <w:rPr>
          <w:rStyle w:val="big-number"/>
          <w:rFonts w:cs="Miriam" w:hint="cs"/>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מינוי, מתן סמכות או הטלת חובה, לענין תחיקת בטחון או מכוחה, יכול שייעשו אם בנקיבת שם ואם בנקיבת שם תפקיד או מישרה.</w:t>
      </w:r>
    </w:p>
    <w:p w:rsidR="00547F36" w:rsidRDefault="00547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מקום שתחיקת בטחון מדברת בנושא תפקיד או מישרה בנקיבת שם תפקידו או מישרתו, הרי זה בא לרבות את מי שממלא אותה שעה תפקיד או מישרה כאמור, חלקם או מקצתם, ואת מי שנתמנה להיות ממלא מקומו של נושא תפקיד או מישרה כאמור.</w:t>
      </w:r>
    </w:p>
    <w:p w:rsidR="00547F36" w:rsidRDefault="00547F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סמכות שניתנה בתחיקת בטחון או מכוחה לנושא תפקיד פלוני או מישרה פלונית באשר הוא נושא אותו תפקיד או אותה מישרה, וכן חובה שהוטלה בדרך זו, יהא מוסמך או שחוייב כאמור מי שנושא אותה שעה את התפקיד או המישרה, או ממונה לפעול במקומו; והוא כשאין כוונה אחרת משתמעת.</w:t>
      </w:r>
    </w:p>
    <w:p w:rsidR="00547F36" w:rsidRDefault="00547F36">
      <w:pPr>
        <w:pStyle w:val="P00"/>
        <w:spacing w:before="72"/>
        <w:ind w:left="0" w:right="1134"/>
        <w:rPr>
          <w:rStyle w:val="default"/>
          <w:rFonts w:cs="FrankRuehl" w:hint="cs"/>
          <w:rtl/>
        </w:rPr>
      </w:pPr>
      <w:bookmarkStart w:id="29" w:name="Seif15"/>
      <w:bookmarkEnd w:id="29"/>
      <w:r>
        <w:rPr>
          <w:rFonts w:cs="Miriam"/>
          <w:lang w:val="he-IL"/>
        </w:rPr>
        <w:pict>
          <v:rect id="_x0000_s1264" style="position:absolute;left:0;text-align:left;margin-left:464.35pt;margin-top:7.1pt;width:75.05pt;height:18.05pt;z-index:251650560" o:allowincell="f" filled="f" stroked="f" strokecolor="lime" strokeweight=".25pt">
            <v:textbox style="mso-next-textbox:#_x0000_s1264" inset="0,0,0,0">
              <w:txbxContent>
                <w:p w:rsidR="00547F36" w:rsidRDefault="00547F36">
                  <w:pPr>
                    <w:spacing w:line="160" w:lineRule="exact"/>
                    <w:rPr>
                      <w:rFonts w:cs="Miriam" w:hint="cs"/>
                      <w:noProof/>
                      <w:sz w:val="18"/>
                      <w:szCs w:val="18"/>
                      <w:rtl/>
                    </w:rPr>
                  </w:pPr>
                  <w:r>
                    <w:rPr>
                      <w:rFonts w:cs="Miriam" w:hint="cs"/>
                      <w:sz w:val="18"/>
                      <w:szCs w:val="18"/>
                      <w:rtl/>
                    </w:rPr>
                    <w:t>המוסמך למנות מוסמך להשעות ולהעביר</w:t>
                  </w:r>
                </w:p>
              </w:txbxContent>
            </v:textbox>
            <w10:anchorlock/>
          </v:rect>
        </w:pict>
      </w:r>
      <w:r>
        <w:rPr>
          <w:rStyle w:val="big-number"/>
          <w:rFonts w:cs="Miriam" w:hint="cs"/>
          <w:rtl/>
        </w:rPr>
        <w:t>15</w:t>
      </w:r>
      <w:r>
        <w:rPr>
          <w:rStyle w:val="default"/>
          <w:rFonts w:cs="FrankRuehl"/>
          <w:rtl/>
        </w:rPr>
        <w:t>.</w:t>
      </w:r>
      <w:r>
        <w:rPr>
          <w:rStyle w:val="default"/>
          <w:rFonts w:cs="FrankRuehl"/>
          <w:rtl/>
        </w:rPr>
        <w:tab/>
      </w:r>
      <w:r>
        <w:rPr>
          <w:rStyle w:val="default"/>
          <w:rFonts w:cs="FrankRuehl" w:hint="cs"/>
          <w:rtl/>
        </w:rPr>
        <w:t>הרשות שהוסמכה על-פי תחיקת בטחון או מכוחה לעשות מינוי, תהא מוסמכת להעביר או להשעות מתפקידו או ממישרתו, ולשוב ולמנות או להחזיר לתפקידו או למישרה כל אדם, שבידו מינוי לתפקיד או מישרה כאמור.</w:t>
      </w:r>
    </w:p>
    <w:p w:rsidR="00BD0195" w:rsidRDefault="00BD0195" w:rsidP="00BD0195">
      <w:pPr>
        <w:pStyle w:val="P00"/>
        <w:spacing w:before="72"/>
        <w:ind w:left="0" w:right="1134"/>
        <w:rPr>
          <w:rStyle w:val="default"/>
          <w:rFonts w:cs="FrankRuehl" w:hint="cs"/>
          <w:rtl/>
        </w:rPr>
      </w:pPr>
      <w:bookmarkStart w:id="30" w:name="Seif33"/>
      <w:bookmarkEnd w:id="30"/>
      <w:r>
        <w:rPr>
          <w:rFonts w:cs="Miriam"/>
          <w:lang w:val="he-IL"/>
        </w:rPr>
        <w:pict>
          <v:rect id="_x0000_s1308" style="position:absolute;left:0;text-align:left;margin-left:464.35pt;margin-top:7.1pt;width:75.05pt;height:15.35pt;z-index:251668992" o:allowincell="f" filled="f" stroked="f" strokecolor="lime" strokeweight=".25pt">
            <v:textbox style="mso-next-textbox:#_x0000_s1308" inset="0,0,0,0">
              <w:txbxContent>
                <w:p w:rsidR="00BD0195" w:rsidRDefault="00BD0195" w:rsidP="00BD0195">
                  <w:pPr>
                    <w:spacing w:line="160" w:lineRule="exact"/>
                    <w:rPr>
                      <w:rFonts w:cs="Miriam" w:hint="cs"/>
                      <w:noProof/>
                      <w:sz w:val="18"/>
                      <w:szCs w:val="18"/>
                      <w:rtl/>
                    </w:rPr>
                  </w:pPr>
                  <w:r>
                    <w:rPr>
                      <w:rFonts w:cs="Miriam" w:hint="cs"/>
                      <w:sz w:val="18"/>
                      <w:szCs w:val="18"/>
                      <w:rtl/>
                    </w:rPr>
                    <w:t>סמכות מינוי גוף</w:t>
                  </w:r>
                </w:p>
              </w:txbxContent>
            </v:textbox>
            <w10:anchorlock/>
          </v:rect>
        </w:pict>
      </w:r>
      <w:r>
        <w:rPr>
          <w:rStyle w:val="big-number"/>
          <w:rFonts w:cs="Miriam" w:hint="cs"/>
          <w:rtl/>
        </w:rPr>
        <w:t>15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הסמכה למנות גוף של מספר חברים </w:t>
      </w:r>
      <w:r>
        <w:rPr>
          <w:rStyle w:val="default"/>
          <w:rFonts w:cs="FrankRuehl"/>
          <w:rtl/>
        </w:rPr>
        <w:t>–</w:t>
      </w:r>
      <w:r>
        <w:rPr>
          <w:rStyle w:val="default"/>
          <w:rFonts w:cs="FrankRuehl" w:hint="cs"/>
          <w:rtl/>
        </w:rPr>
        <w:t xml:space="preserve"> משמעה גם הסמכה למנות לו יושב ראש ולמנות ממלא מקום לכל חבר שלו.</w:t>
      </w:r>
    </w:p>
    <w:p w:rsidR="00547F36" w:rsidRDefault="00547F36">
      <w:pPr>
        <w:pStyle w:val="P00"/>
        <w:spacing w:before="72"/>
        <w:ind w:left="0" w:right="1134"/>
        <w:rPr>
          <w:rStyle w:val="default"/>
          <w:rFonts w:cs="FrankRuehl" w:hint="cs"/>
          <w:rtl/>
        </w:rPr>
      </w:pPr>
      <w:bookmarkStart w:id="31" w:name="Seif16"/>
      <w:bookmarkEnd w:id="31"/>
      <w:r>
        <w:rPr>
          <w:rFonts w:cs="Miriam"/>
          <w:lang w:val="he-IL"/>
        </w:rPr>
        <w:pict>
          <v:rect id="_x0000_s1265" style="position:absolute;left:0;text-align:left;margin-left:464.35pt;margin-top:7.1pt;width:75.05pt;height:17.1pt;z-index:251651584" o:allowincell="f" filled="f" stroked="f" strokecolor="lime" strokeweight=".25pt">
            <v:textbox style="mso-next-textbox:#_x0000_s1265" inset="0,0,0,0">
              <w:txbxContent>
                <w:p w:rsidR="00547F36" w:rsidRDefault="00547F36">
                  <w:pPr>
                    <w:spacing w:line="160" w:lineRule="exact"/>
                    <w:rPr>
                      <w:rFonts w:cs="Miriam" w:hint="cs"/>
                      <w:noProof/>
                      <w:sz w:val="18"/>
                      <w:szCs w:val="18"/>
                      <w:rtl/>
                    </w:rPr>
                  </w:pPr>
                  <w:r>
                    <w:rPr>
                      <w:rFonts w:cs="Miriam" w:hint="cs"/>
                      <w:sz w:val="18"/>
                      <w:szCs w:val="18"/>
                      <w:rtl/>
                    </w:rPr>
                    <w:t>שימוש בסמכות או במילוי חובה</w:t>
                  </w:r>
                </w:p>
              </w:txbxContent>
            </v:textbox>
            <w10:anchorlock/>
          </v:rect>
        </w:pict>
      </w:r>
      <w:r>
        <w:rPr>
          <w:rStyle w:val="big-number"/>
          <w:rFonts w:cs="Miriam" w:hint="cs"/>
          <w:rtl/>
        </w:rPr>
        <w:t>16</w:t>
      </w:r>
      <w:r>
        <w:rPr>
          <w:rStyle w:val="default"/>
          <w:rFonts w:cs="FrankRuehl"/>
          <w:rtl/>
        </w:rPr>
        <w:t>.</w:t>
      </w:r>
      <w:r>
        <w:rPr>
          <w:rStyle w:val="default"/>
          <w:rFonts w:cs="FrankRuehl"/>
          <w:rtl/>
        </w:rPr>
        <w:tab/>
      </w:r>
      <w:r>
        <w:rPr>
          <w:rStyle w:val="default"/>
          <w:rFonts w:cs="FrankRuehl" w:hint="cs"/>
          <w:rtl/>
        </w:rPr>
        <w:t>סמכות שניתנה בתחיקת בטחון או מכוחה, או חובה בה או מכוחה, אפשר להשתמש ולחזור ולהשתמש באותה סמכות, ויש למלא ולחזור ולמלא אותה חובה, מזמן לזמן, ככל שיידרש לפי הנסיבות; והוא כשאין כוונה אחרת משתמעת.</w:t>
      </w:r>
    </w:p>
    <w:p w:rsidR="00BD0195" w:rsidRDefault="00BD0195" w:rsidP="00BD0195">
      <w:pPr>
        <w:pStyle w:val="P00"/>
        <w:spacing w:before="72"/>
        <w:ind w:left="0" w:right="1134"/>
        <w:rPr>
          <w:rStyle w:val="default"/>
          <w:rFonts w:cs="FrankRuehl" w:hint="cs"/>
          <w:rtl/>
        </w:rPr>
      </w:pPr>
      <w:bookmarkStart w:id="32" w:name="Seif34"/>
      <w:bookmarkEnd w:id="32"/>
      <w:r>
        <w:rPr>
          <w:rFonts w:cs="Miriam"/>
          <w:lang w:val="he-IL"/>
        </w:rPr>
        <w:pict>
          <v:rect id="_x0000_s1309" style="position:absolute;left:0;text-align:left;margin-left:464.35pt;margin-top:7.1pt;width:75.05pt;height:11.05pt;z-index:251670016" o:allowincell="f" filled="f" stroked="f" strokecolor="lime" strokeweight=".25pt">
            <v:textbox style="mso-next-textbox:#_x0000_s1309" inset="0,0,0,0">
              <w:txbxContent>
                <w:p w:rsidR="00BD0195" w:rsidRDefault="00BD0195" w:rsidP="00BD0195">
                  <w:pPr>
                    <w:spacing w:line="160" w:lineRule="exact"/>
                    <w:rPr>
                      <w:rFonts w:cs="Miriam" w:hint="cs"/>
                      <w:noProof/>
                      <w:sz w:val="18"/>
                      <w:szCs w:val="18"/>
                      <w:rtl/>
                    </w:rPr>
                  </w:pPr>
                  <w:r>
                    <w:rPr>
                      <w:rFonts w:cs="Miriam" w:hint="cs"/>
                      <w:sz w:val="18"/>
                      <w:szCs w:val="18"/>
                      <w:rtl/>
                    </w:rPr>
                    <w:t>סמכות לפטור</w:t>
                  </w:r>
                </w:p>
              </w:txbxContent>
            </v:textbox>
            <w10:anchorlock/>
          </v:rect>
        </w:pict>
      </w:r>
      <w:r>
        <w:rPr>
          <w:rStyle w:val="big-number"/>
          <w:rFonts w:cs="Miriam" w:hint="cs"/>
          <w:rtl/>
        </w:rPr>
        <w:t>16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הסמכה ליתן פטור, הקלה, הנחה וכיוצא באלה </w:t>
      </w:r>
      <w:r>
        <w:rPr>
          <w:rStyle w:val="default"/>
          <w:rFonts w:cs="FrankRuehl"/>
          <w:rtl/>
        </w:rPr>
        <w:t>–</w:t>
      </w:r>
      <w:r>
        <w:rPr>
          <w:rStyle w:val="default"/>
          <w:rFonts w:cs="FrankRuehl" w:hint="cs"/>
          <w:rtl/>
        </w:rPr>
        <w:t xml:space="preserve"> משמעה הסמכה ליתן אותם אף במקצת או בתנאים.</w:t>
      </w:r>
    </w:p>
    <w:p w:rsidR="00BD0195" w:rsidRDefault="00BD0195" w:rsidP="00BD0195">
      <w:pPr>
        <w:pStyle w:val="P00"/>
        <w:spacing w:before="72"/>
        <w:ind w:left="0" w:right="1134"/>
        <w:rPr>
          <w:rStyle w:val="default"/>
          <w:rFonts w:cs="FrankRuehl" w:hint="cs"/>
          <w:rtl/>
        </w:rPr>
      </w:pPr>
      <w:bookmarkStart w:id="33" w:name="Seif35"/>
      <w:bookmarkEnd w:id="33"/>
      <w:r>
        <w:rPr>
          <w:rFonts w:cs="Miriam"/>
          <w:lang w:val="he-IL"/>
        </w:rPr>
        <w:pict>
          <v:rect id="_x0000_s1310" style="position:absolute;left:0;text-align:left;margin-left:464.35pt;margin-top:7.1pt;width:75.05pt;height:11.6pt;z-index:251671040" o:allowincell="f" filled="f" stroked="f" strokecolor="lime" strokeweight=".25pt">
            <v:textbox style="mso-next-textbox:#_x0000_s1310" inset="0,0,0,0">
              <w:txbxContent>
                <w:p w:rsidR="00BD0195" w:rsidRDefault="00BD0195" w:rsidP="00BD0195">
                  <w:pPr>
                    <w:spacing w:line="160" w:lineRule="exact"/>
                    <w:rPr>
                      <w:rFonts w:cs="Miriam" w:hint="cs"/>
                      <w:noProof/>
                      <w:sz w:val="18"/>
                      <w:szCs w:val="18"/>
                      <w:rtl/>
                    </w:rPr>
                  </w:pPr>
                  <w:r>
                    <w:rPr>
                      <w:rFonts w:cs="Miriam" w:hint="cs"/>
                      <w:sz w:val="18"/>
                      <w:szCs w:val="18"/>
                      <w:rtl/>
                    </w:rPr>
                    <w:t>סמכות בהשגה ובערר</w:t>
                  </w:r>
                </w:p>
              </w:txbxContent>
            </v:textbox>
            <w10:anchorlock/>
          </v:rect>
        </w:pict>
      </w:r>
      <w:r>
        <w:rPr>
          <w:rStyle w:val="big-number"/>
          <w:rFonts w:cs="Miriam" w:hint="cs"/>
          <w:rtl/>
        </w:rPr>
        <w:t>16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הסמכה לדון ולהכריע בערר או בהשגה אחרת על החלטה של רשות </w:t>
      </w:r>
      <w:r>
        <w:rPr>
          <w:rStyle w:val="default"/>
          <w:rFonts w:cs="FrankRuehl"/>
          <w:rtl/>
        </w:rPr>
        <w:t>–</w:t>
      </w:r>
      <w:r>
        <w:rPr>
          <w:rStyle w:val="default"/>
          <w:rFonts w:cs="FrankRuehl" w:hint="cs"/>
          <w:rtl/>
        </w:rPr>
        <w:t xml:space="preserve"> משמעה גם הסמכה לאשר את ההחלטה בשינויים או בלא שינוי, לבטלה ולהחליט החלטה אחרת במקומה או להחזיר את הענין עם הוראות לרשות שהחליטה.</w:t>
      </w:r>
    </w:p>
    <w:p w:rsidR="00547F36" w:rsidRDefault="00547F36">
      <w:pPr>
        <w:pStyle w:val="P00"/>
        <w:spacing w:before="72"/>
        <w:ind w:left="0" w:right="1134"/>
        <w:rPr>
          <w:rStyle w:val="default"/>
          <w:rFonts w:cs="FrankRuehl" w:hint="cs"/>
          <w:rtl/>
        </w:rPr>
      </w:pPr>
      <w:bookmarkStart w:id="34" w:name="Seif17"/>
      <w:bookmarkEnd w:id="34"/>
      <w:r>
        <w:rPr>
          <w:rFonts w:cs="Miriam"/>
          <w:lang w:val="he-IL"/>
        </w:rPr>
        <w:pict>
          <v:rect id="_x0000_s1266" style="position:absolute;left:0;text-align:left;margin-left:464.35pt;margin-top:7.1pt;width:75.05pt;height:29.95pt;z-index:251652608" o:allowincell="f" filled="f" stroked="f" strokecolor="lime" strokeweight=".25pt">
            <v:textbox style="mso-next-textbox:#_x0000_s1266" inset="0,0,0,0">
              <w:txbxContent>
                <w:p w:rsidR="00547F36" w:rsidRDefault="00547F36">
                  <w:pPr>
                    <w:spacing w:line="160" w:lineRule="exact"/>
                    <w:rPr>
                      <w:rFonts w:cs="Miriam" w:hint="cs"/>
                      <w:noProof/>
                      <w:sz w:val="18"/>
                      <w:szCs w:val="18"/>
                      <w:rtl/>
                    </w:rPr>
                  </w:pPr>
                  <w:r>
                    <w:rPr>
                      <w:rFonts w:cs="Miriam" w:hint="cs"/>
                      <w:sz w:val="18"/>
                      <w:szCs w:val="18"/>
                      <w:rtl/>
                    </w:rPr>
                    <w:t>הקניית סמכויות למפקד כוחות צה"ל באזור</w:t>
                  </w:r>
                </w:p>
              </w:txbxContent>
            </v:textbox>
            <w10:anchorlock/>
          </v:rect>
        </w:pict>
      </w:r>
      <w:r>
        <w:rPr>
          <w:rStyle w:val="big-number"/>
          <w:rFonts w:cs="Miriam" w:hint="cs"/>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מקום שתחיקת בטחון מדברת במפקד צבאי, או ברשות אחרת הפועלת מטעם מפקד כוחות צה"ל באזור, יחולו הוראות אלה:</w:t>
      </w:r>
    </w:p>
    <w:p w:rsidR="00547F36" w:rsidRDefault="00547F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 מפקד כוחות צה"ל באזור להשתמש בכל סמכות או למלא כל תפקיד הנזכרים בה;</w:t>
      </w:r>
    </w:p>
    <w:p w:rsidR="00547F36" w:rsidRDefault="00547F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פעולה בידי מפקד כוחות צה"ל באזור, תוך שימוש בסמכות או במילוי תפקיד כאמור, כוחה עדיף על פעולה קודמת של מפקד צבאי או של רשות אחרת כאמור, אף אם לא ביטלה אותה במפורש.</w:t>
      </w:r>
    </w:p>
    <w:p w:rsidR="00547F36" w:rsidRDefault="00547F36" w:rsidP="00E005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שימוש בסמכות, או מילוי תפקיד, לפי סעיף</w:t>
      </w:r>
      <w:r w:rsidR="00E0050A">
        <w:rPr>
          <w:rStyle w:val="default"/>
          <w:rFonts w:cs="FrankRuehl" w:hint="cs"/>
          <w:rtl/>
        </w:rPr>
        <w:t xml:space="preserve"> </w:t>
      </w:r>
      <w:r>
        <w:rPr>
          <w:rStyle w:val="default"/>
          <w:rFonts w:cs="FrankRuehl" w:hint="cs"/>
          <w:rtl/>
        </w:rPr>
        <w:t>קטן (א), לא יתפרש כשולל באורח כללי את הסמכות או התפקיד ממי שהיו בידיו, אלא אם מפקד כוחות צה"ל באזור הורה על כך במפורש.</w:t>
      </w:r>
    </w:p>
    <w:p w:rsidR="00AC41E7" w:rsidRDefault="00AC41E7" w:rsidP="00AC41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כוחות צה"ל באזור רשאי להעניק, בכתב, לאחר את סמכויותיו של מפקד צבאי, כולן או מקצתן.</w:t>
      </w:r>
    </w:p>
    <w:p w:rsidR="00547F36" w:rsidRDefault="00547F36">
      <w:pPr>
        <w:pStyle w:val="P00"/>
        <w:spacing w:before="72"/>
        <w:ind w:left="0" w:right="1134"/>
        <w:rPr>
          <w:rStyle w:val="default"/>
          <w:rFonts w:cs="FrankRuehl" w:hint="cs"/>
          <w:rtl/>
        </w:rPr>
      </w:pPr>
      <w:bookmarkStart w:id="35" w:name="Seif18"/>
      <w:bookmarkEnd w:id="35"/>
      <w:r>
        <w:rPr>
          <w:rFonts w:cs="Miriam"/>
          <w:lang w:val="he-IL"/>
        </w:rPr>
        <w:pict>
          <v:rect id="_x0000_s1267" style="position:absolute;left:0;text-align:left;margin-left:463.5pt;margin-top:7.1pt;width:75.9pt;height:14.1pt;z-index:251653632" o:allowincell="f" filled="f" stroked="f" strokecolor="lime" strokeweight=".25pt">
            <v:textbox style="mso-next-textbox:#_x0000_s1267" inset="0,0,0,0">
              <w:txbxContent>
                <w:p w:rsidR="00547F36" w:rsidRDefault="00547F36">
                  <w:pPr>
                    <w:spacing w:line="160" w:lineRule="exact"/>
                    <w:rPr>
                      <w:rFonts w:cs="Miriam" w:hint="cs"/>
                      <w:sz w:val="18"/>
                      <w:szCs w:val="18"/>
                      <w:rtl/>
                    </w:rPr>
                  </w:pPr>
                  <w:r>
                    <w:rPr>
                      <w:rFonts w:cs="Miriam" w:hint="cs"/>
                      <w:sz w:val="18"/>
                      <w:szCs w:val="18"/>
                      <w:rtl/>
                    </w:rPr>
                    <w:t>אצילת סמכויות</w:t>
                  </w:r>
                </w:p>
              </w:txbxContent>
            </v:textbox>
            <w10:anchorlock/>
          </v:rect>
        </w:pict>
      </w:r>
      <w:r>
        <w:rPr>
          <w:rStyle w:val="big-number"/>
          <w:rFonts w:cs="Miriam" w:hint="cs"/>
          <w:rtl/>
        </w:rPr>
        <w:t>18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מקום שתחיקת בטחון מדברת בסמכות או בתפקיד של מפקד כוחות צה"ל באזור, רשאי יהיה מפקד כוחות צה"ל באזור לאצול בכתב לאדם אחר מסמכויותיו או מתפקידיו, למעט הסמכות להוציא מנשרים וצווים שיחולו על האזור כולו.</w:t>
      </w:r>
    </w:p>
    <w:p w:rsidR="00547F36" w:rsidRDefault="00547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רשאי להסמיך בכתב כל רשות הפועלת מטעמו וכן כל אדם שנאצלו לו סמכויות מפקד כוחות צה"ל באזור, בהתאם לסעיף קטן (א), לאצול סמכויות אלה לאדם אחר.</w:t>
      </w:r>
    </w:p>
    <w:p w:rsidR="00547F36" w:rsidRDefault="00547F36" w:rsidP="006900F1">
      <w:pPr>
        <w:pStyle w:val="P00"/>
        <w:spacing w:before="72"/>
        <w:ind w:left="0" w:right="1134"/>
        <w:rPr>
          <w:rStyle w:val="default"/>
          <w:rFonts w:cs="FrankRuehl" w:hint="cs"/>
          <w:rtl/>
        </w:rPr>
      </w:pPr>
      <w:bookmarkStart w:id="36" w:name="Seif19"/>
      <w:bookmarkEnd w:id="36"/>
      <w:r>
        <w:rPr>
          <w:rFonts w:cs="Miriam"/>
          <w:lang w:val="he-IL"/>
        </w:rPr>
        <w:pict>
          <v:rect id="_x0000_s1268" style="position:absolute;left:0;text-align:left;margin-left:464.35pt;margin-top:7.1pt;width:75.05pt;height:20.5pt;z-index:251654656" o:allowincell="f" filled="f" stroked="f" strokecolor="lime" strokeweight=".25pt">
            <v:textbox style="mso-next-textbox:#_x0000_s1268" inset="0,0,0,0">
              <w:txbxContent>
                <w:p w:rsidR="00547F36" w:rsidRDefault="00547F36">
                  <w:pPr>
                    <w:spacing w:line="160" w:lineRule="exact"/>
                    <w:rPr>
                      <w:rFonts w:cs="Miriam" w:hint="cs"/>
                      <w:noProof/>
                      <w:sz w:val="18"/>
                      <w:szCs w:val="18"/>
                      <w:rtl/>
                    </w:rPr>
                  </w:pPr>
                  <w:r>
                    <w:rPr>
                      <w:rFonts w:cs="Miriam" w:hint="cs"/>
                      <w:sz w:val="18"/>
                      <w:szCs w:val="18"/>
                      <w:rtl/>
                    </w:rPr>
                    <w:t>פירושו של מתן סמכות</w:t>
                  </w:r>
                </w:p>
              </w:txbxContent>
            </v:textbox>
            <w10:anchorlock/>
          </v:rect>
        </w:pict>
      </w:r>
      <w:r>
        <w:rPr>
          <w:rStyle w:val="big-number"/>
          <w:rFonts w:cs="Miriam" w:hint="cs"/>
          <w:rtl/>
        </w:rPr>
        <w:t>19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מי שניתנה לו בתחיקת הבטחון הסמכות לעשות דבר או לכפות עשייתו, נ</w:t>
      </w:r>
      <w:r w:rsidR="006900F1">
        <w:rPr>
          <w:rStyle w:val="default"/>
          <w:rFonts w:cs="FrankRuehl" w:hint="cs"/>
          <w:rtl/>
        </w:rPr>
        <w:t>ת</w:t>
      </w:r>
      <w:r>
        <w:rPr>
          <w:rStyle w:val="default"/>
          <w:rFonts w:cs="FrankRuehl" w:hint="cs"/>
          <w:rtl/>
        </w:rPr>
        <w:t>ונות לו ממילא גם כל הסמכויות הדרושות במידה סבירה כדי לאפשר לו את העשייה או את כפיית העשייה.</w:t>
      </w:r>
    </w:p>
    <w:p w:rsidR="005F2390" w:rsidRPr="005F2390" w:rsidRDefault="005F2390" w:rsidP="005F2390">
      <w:pPr>
        <w:pStyle w:val="P00"/>
        <w:spacing w:before="72"/>
        <w:ind w:left="0" w:right="1134"/>
        <w:rPr>
          <w:rStyle w:val="default"/>
          <w:rFonts w:cs="FrankRuehl" w:hint="cs"/>
          <w:rtl/>
        </w:rPr>
      </w:pPr>
      <w:r w:rsidRPr="005F2390">
        <w:rPr>
          <w:rStyle w:val="default"/>
          <w:rFonts w:cs="FrankRuehl" w:hint="cs"/>
          <w:rtl/>
        </w:rPr>
        <w:tab/>
        <w:t>(א1)</w:t>
      </w:r>
      <w:r w:rsidRPr="005F2390">
        <w:rPr>
          <w:rStyle w:val="default"/>
          <w:rFonts w:cs="FrankRuehl" w:hint="cs"/>
          <w:rtl/>
        </w:rPr>
        <w:tab/>
        <w:t xml:space="preserve">הסמכה לעשות דבר או לדון בענין פלוני או להכריע בו </w:t>
      </w:r>
      <w:r w:rsidRPr="005F2390">
        <w:rPr>
          <w:rStyle w:val="default"/>
          <w:rFonts w:cs="FrankRuehl"/>
          <w:rtl/>
        </w:rPr>
        <w:t>–</w:t>
      </w:r>
      <w:r w:rsidRPr="005F2390">
        <w:rPr>
          <w:rStyle w:val="default"/>
          <w:rFonts w:cs="FrankRuehl" w:hint="cs"/>
          <w:rtl/>
        </w:rPr>
        <w:t xml:space="preserve"> משמעה גם הסמכה לקבוע נוהל עבודה וסדרי דיונים ככל שאלה לא נקבעו בתחיקת הבטחון.</w:t>
      </w:r>
    </w:p>
    <w:p w:rsidR="00547F36" w:rsidRDefault="00547F36" w:rsidP="005F23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האמור בסעיפים 20, 21 ו-22 אינו בא לגרוע מכלליות </w:t>
      </w:r>
      <w:r w:rsidR="005F2390">
        <w:rPr>
          <w:rStyle w:val="default"/>
          <w:rFonts w:cs="FrankRuehl" w:hint="cs"/>
          <w:rtl/>
        </w:rPr>
        <w:t>סעיפים קטנים</w:t>
      </w:r>
      <w:r>
        <w:rPr>
          <w:rStyle w:val="default"/>
          <w:rFonts w:cs="FrankRuehl" w:hint="cs"/>
          <w:rtl/>
        </w:rPr>
        <w:t xml:space="preserve"> (א)</w:t>
      </w:r>
      <w:r w:rsidR="005F2390">
        <w:rPr>
          <w:rStyle w:val="default"/>
          <w:rFonts w:cs="FrankRuehl" w:hint="cs"/>
          <w:rtl/>
        </w:rPr>
        <w:t xml:space="preserve"> ו-(א1)</w:t>
      </w:r>
      <w:r>
        <w:rPr>
          <w:rStyle w:val="default"/>
          <w:rFonts w:cs="FrankRuehl" w:hint="cs"/>
          <w:rtl/>
        </w:rPr>
        <w:t>.</w:t>
      </w:r>
    </w:p>
    <w:p w:rsidR="00547F36" w:rsidRDefault="00547F36">
      <w:pPr>
        <w:pStyle w:val="P00"/>
        <w:spacing w:before="72"/>
        <w:ind w:left="0" w:right="1134"/>
        <w:rPr>
          <w:rStyle w:val="default"/>
          <w:rFonts w:cs="FrankRuehl" w:hint="cs"/>
          <w:rtl/>
        </w:rPr>
      </w:pPr>
      <w:bookmarkStart w:id="37" w:name="Seif20"/>
      <w:bookmarkEnd w:id="37"/>
      <w:r>
        <w:rPr>
          <w:rFonts w:cs="Miriam"/>
          <w:lang w:val="he-IL"/>
        </w:rPr>
        <w:pict>
          <v:rect id="_x0000_s1269" style="position:absolute;left:0;text-align:left;margin-left:464.35pt;margin-top:7.1pt;width:75.05pt;height:10.15pt;z-index:251655680" o:allowincell="f" filled="f" stroked="f" strokecolor="lime" strokeweight=".25pt">
            <v:textbox style="mso-next-textbox:#_x0000_s1269" inset="0,0,0,0">
              <w:txbxContent>
                <w:p w:rsidR="00547F36" w:rsidRDefault="00547F36">
                  <w:pPr>
                    <w:spacing w:line="160" w:lineRule="exact"/>
                    <w:rPr>
                      <w:rFonts w:cs="Miriam" w:hint="cs"/>
                      <w:noProof/>
                      <w:sz w:val="18"/>
                      <w:szCs w:val="18"/>
                      <w:rtl/>
                    </w:rPr>
                  </w:pPr>
                  <w:r>
                    <w:rPr>
                      <w:rFonts w:cs="Miriam" w:hint="cs"/>
                      <w:sz w:val="18"/>
                      <w:szCs w:val="18"/>
                      <w:rtl/>
                    </w:rPr>
                    <w:t>קביעת תנאים</w:t>
                  </w:r>
                </w:p>
              </w:txbxContent>
            </v:textbox>
            <w10:anchorlock/>
          </v:rect>
        </w:pict>
      </w:r>
      <w:r>
        <w:rPr>
          <w:rStyle w:val="big-number"/>
          <w:rFonts w:cs="Miriam" w:hint="cs"/>
          <w:rtl/>
        </w:rPr>
        <w:t>20</w:t>
      </w:r>
      <w:r>
        <w:rPr>
          <w:rStyle w:val="default"/>
          <w:rFonts w:cs="FrankRuehl"/>
          <w:rtl/>
        </w:rPr>
        <w:t>.</w:t>
      </w:r>
      <w:r>
        <w:rPr>
          <w:rStyle w:val="default"/>
          <w:rFonts w:cs="FrankRuehl"/>
          <w:rtl/>
        </w:rPr>
        <w:tab/>
      </w:r>
      <w:r>
        <w:rPr>
          <w:rStyle w:val="default"/>
          <w:rFonts w:cs="FrankRuehl" w:hint="cs"/>
          <w:rtl/>
        </w:rPr>
        <w:t>הסמכות ליתן תחיקת בטחון תתפרש ככוללת את הסמכות לקבוע או להוסיף תנאים, לבטלם, לשנותם או להפסיקם לשעה.</w:t>
      </w:r>
    </w:p>
    <w:p w:rsidR="00547F36" w:rsidRDefault="00547F36">
      <w:pPr>
        <w:pStyle w:val="P00"/>
        <w:spacing w:before="72"/>
        <w:ind w:left="0" w:right="1134"/>
        <w:rPr>
          <w:rStyle w:val="default"/>
          <w:rFonts w:cs="FrankRuehl" w:hint="cs"/>
          <w:rtl/>
        </w:rPr>
      </w:pPr>
      <w:bookmarkStart w:id="38" w:name="Seif21"/>
      <w:bookmarkEnd w:id="38"/>
      <w:r>
        <w:rPr>
          <w:rFonts w:cs="Miriam"/>
          <w:lang w:val="he-IL"/>
        </w:rPr>
        <w:pict>
          <v:rect id="_x0000_s1270" style="position:absolute;left:0;text-align:left;margin-left:464.35pt;margin-top:7.1pt;width:75.05pt;height:10.15pt;z-index:251656704" o:allowincell="f" filled="f" stroked="f" strokecolor="lime" strokeweight=".25pt">
            <v:textbox style="mso-next-textbox:#_x0000_s1270" inset="0,0,0,0">
              <w:txbxContent>
                <w:p w:rsidR="00547F36" w:rsidRDefault="00547F36">
                  <w:pPr>
                    <w:spacing w:line="160" w:lineRule="exact"/>
                    <w:rPr>
                      <w:rFonts w:cs="Miriam" w:hint="cs"/>
                      <w:noProof/>
                      <w:sz w:val="18"/>
                      <w:szCs w:val="18"/>
                      <w:rtl/>
                    </w:rPr>
                  </w:pPr>
                  <w:r>
                    <w:rPr>
                      <w:rFonts w:cs="Miriam" w:hint="cs"/>
                      <w:sz w:val="18"/>
                      <w:szCs w:val="18"/>
                      <w:rtl/>
                    </w:rPr>
                    <w:t>סמכות הצגה</w:t>
                  </w:r>
                </w:p>
              </w:txbxContent>
            </v:textbox>
            <w10:anchorlock/>
          </v:rect>
        </w:pict>
      </w:r>
      <w:r>
        <w:rPr>
          <w:rStyle w:val="big-number"/>
          <w:rFonts w:cs="Miriam" w:hint="cs"/>
          <w:rtl/>
        </w:rPr>
        <w:t>21</w:t>
      </w:r>
      <w:r>
        <w:rPr>
          <w:rStyle w:val="default"/>
          <w:rFonts w:cs="FrankRuehl"/>
          <w:rtl/>
        </w:rPr>
        <w:t>.</w:t>
      </w:r>
      <w:r>
        <w:rPr>
          <w:rStyle w:val="default"/>
          <w:rFonts w:cs="FrankRuehl"/>
          <w:rtl/>
        </w:rPr>
        <w:tab/>
      </w:r>
      <w:r>
        <w:rPr>
          <w:rStyle w:val="default"/>
          <w:rFonts w:cs="FrankRuehl" w:hint="cs"/>
          <w:rtl/>
        </w:rPr>
        <w:t xml:space="preserve">חייל, הפועל במילוי תפקידו, רשאי </w:t>
      </w:r>
      <w:r>
        <w:rPr>
          <w:rStyle w:val="default"/>
          <w:rFonts w:cs="FrankRuehl"/>
          <w:rtl/>
        </w:rPr>
        <w:t>–</w:t>
      </w:r>
      <w:r>
        <w:rPr>
          <w:rStyle w:val="default"/>
          <w:rFonts w:cs="FrankRuehl" w:hint="cs"/>
          <w:rtl/>
        </w:rPr>
        <w:t xml:space="preserve"> לשם קיום שירותים חיוניים </w:t>
      </w:r>
      <w:r>
        <w:rPr>
          <w:rStyle w:val="default"/>
          <w:rFonts w:cs="FrankRuehl"/>
          <w:rtl/>
        </w:rPr>
        <w:t>–</w:t>
      </w:r>
      <w:r>
        <w:rPr>
          <w:rStyle w:val="default"/>
          <w:rFonts w:cs="FrankRuehl" w:hint="cs"/>
          <w:rtl/>
        </w:rPr>
        <w:t xml:space="preserve"> להציג או לגרום שתוצג כל מודעה, בכל מקום, לרבות בכלי טיס, בכלי רכב או בכלי שיט.</w:t>
      </w:r>
    </w:p>
    <w:p w:rsidR="00547F36" w:rsidRDefault="00547F36">
      <w:pPr>
        <w:pStyle w:val="P00"/>
        <w:spacing w:before="72"/>
        <w:ind w:left="0" w:right="1134"/>
        <w:rPr>
          <w:rStyle w:val="default"/>
          <w:rFonts w:cs="FrankRuehl" w:hint="cs"/>
          <w:rtl/>
        </w:rPr>
      </w:pPr>
      <w:bookmarkStart w:id="39" w:name="Seif22"/>
      <w:bookmarkEnd w:id="39"/>
      <w:r>
        <w:rPr>
          <w:rFonts w:cs="Miriam"/>
          <w:lang w:val="he-IL"/>
        </w:rPr>
        <w:pict>
          <v:rect id="_x0000_s1271" style="position:absolute;left:0;text-align:left;margin-left:464.35pt;margin-top:7.1pt;width:75.05pt;height:10.15pt;z-index:251657728" o:allowincell="f" filled="f" stroked="f" strokecolor="lime" strokeweight=".25pt">
            <v:textbox style="mso-next-textbox:#_x0000_s1271" inset="0,0,0,0">
              <w:txbxContent>
                <w:p w:rsidR="00547F36" w:rsidRDefault="00547F36">
                  <w:pPr>
                    <w:spacing w:line="160" w:lineRule="exact"/>
                    <w:rPr>
                      <w:rFonts w:cs="Miriam" w:hint="cs"/>
                      <w:noProof/>
                      <w:sz w:val="18"/>
                      <w:szCs w:val="18"/>
                      <w:rtl/>
                    </w:rPr>
                  </w:pPr>
                  <w:r>
                    <w:rPr>
                      <w:rFonts w:cs="Miriam" w:hint="cs"/>
                      <w:sz w:val="18"/>
                      <w:szCs w:val="18"/>
                      <w:rtl/>
                    </w:rPr>
                    <w:t>כניסה ושימוש בכוח</w:t>
                  </w:r>
                </w:p>
              </w:txbxContent>
            </v:textbox>
            <w10:anchorlock/>
          </v:rect>
        </w:pict>
      </w:r>
      <w:r>
        <w:rPr>
          <w:rStyle w:val="big-number"/>
          <w:rFonts w:cs="Miriam" w:hint="cs"/>
          <w:rtl/>
        </w:rPr>
        <w:t>22</w:t>
      </w:r>
      <w:r>
        <w:rPr>
          <w:rStyle w:val="default"/>
          <w:rFonts w:cs="FrankRuehl"/>
          <w:rtl/>
        </w:rPr>
        <w:t>.</w:t>
      </w:r>
      <w:r>
        <w:rPr>
          <w:rStyle w:val="default"/>
          <w:rFonts w:cs="FrankRuehl"/>
          <w:rtl/>
        </w:rPr>
        <w:tab/>
      </w:r>
      <w:r>
        <w:rPr>
          <w:rStyle w:val="default"/>
          <w:rFonts w:cs="FrankRuehl" w:hint="cs"/>
          <w:rtl/>
        </w:rPr>
        <w:t>ניתנה סמכות בתחיקת בטחון, רשאי מי שהוסמך כאמור, וכל אדם אחר הפועל ל</w:t>
      </w:r>
      <w:r w:rsidR="00986AD2">
        <w:rPr>
          <w:rStyle w:val="default"/>
          <w:rFonts w:cs="FrankRuehl" w:hint="cs"/>
          <w:rtl/>
        </w:rPr>
        <w:t>פ</w:t>
      </w:r>
      <w:r>
        <w:rPr>
          <w:rStyle w:val="default"/>
          <w:rFonts w:cs="FrankRuehl" w:hint="cs"/>
          <w:rtl/>
        </w:rPr>
        <w:t>י הוראותיו להיכנס בכל זמן לכל מקום, לרבות כלי טיס, כלי רכב, או כלי שיט, ולהשתמש לשם כך ולשם ביצוע הסמכות, בכוח סביר במידה הדרושה לפי הנסיבות, כלפי אדם, מקרקעין או מטלטלין.</w:t>
      </w:r>
    </w:p>
    <w:p w:rsidR="005F2390" w:rsidRDefault="005F2390" w:rsidP="005F2390">
      <w:pPr>
        <w:pStyle w:val="P00"/>
        <w:spacing w:before="72"/>
        <w:ind w:left="0" w:right="1134"/>
        <w:rPr>
          <w:rStyle w:val="default"/>
          <w:rFonts w:cs="FrankRuehl" w:hint="cs"/>
          <w:rtl/>
        </w:rPr>
      </w:pPr>
      <w:bookmarkStart w:id="40" w:name="Seif36"/>
      <w:bookmarkEnd w:id="40"/>
      <w:r>
        <w:rPr>
          <w:rFonts w:cs="Miriam"/>
          <w:lang w:val="he-IL"/>
        </w:rPr>
        <w:pict>
          <v:rect id="_x0000_s1313" style="position:absolute;left:0;text-align:left;margin-left:464.35pt;margin-top:7.1pt;width:75.05pt;height:18.7pt;z-index:251672064" o:allowincell="f" filled="f" stroked="f" strokecolor="lime" strokeweight=".25pt">
            <v:textbox style="mso-next-textbox:#_x0000_s1313" inset="0,0,0,0">
              <w:txbxContent>
                <w:p w:rsidR="005F2390" w:rsidRDefault="005F2390" w:rsidP="005F2390">
                  <w:pPr>
                    <w:spacing w:line="160" w:lineRule="exact"/>
                    <w:rPr>
                      <w:rFonts w:cs="Miriam" w:hint="cs"/>
                      <w:noProof/>
                      <w:sz w:val="18"/>
                      <w:szCs w:val="18"/>
                      <w:rtl/>
                    </w:rPr>
                  </w:pPr>
                  <w:r>
                    <w:rPr>
                      <w:rFonts w:cs="Miriam" w:hint="cs"/>
                      <w:sz w:val="18"/>
                      <w:szCs w:val="18"/>
                      <w:rtl/>
                    </w:rPr>
                    <w:t>שמירת סמכויות וחובות</w:t>
                  </w:r>
                </w:p>
              </w:txbxContent>
            </v:textbox>
            <w10:anchorlock/>
          </v:rect>
        </w:pict>
      </w:r>
      <w:r>
        <w:rPr>
          <w:rStyle w:val="big-number"/>
          <w:rFonts w:cs="Miriam" w:hint="cs"/>
          <w:rtl/>
        </w:rPr>
        <w:t>22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מתן סמכות או הטלת חובה לפי תחיקת בטחון אחת, אין בהם כשהם לעצמם כדי לגרוע מסמכות שניתנה או חובה שהוטלה לפי דין אחר או תחיקת בטחון אחרת.</w:t>
      </w:r>
    </w:p>
    <w:p w:rsidR="00547F36" w:rsidRDefault="00547F36">
      <w:pPr>
        <w:pStyle w:val="medium2-header"/>
        <w:keepLines w:val="0"/>
        <w:spacing w:before="72"/>
        <w:ind w:left="0" w:right="1134"/>
        <w:rPr>
          <w:rFonts w:cs="FrankRuehl" w:hint="cs"/>
          <w:noProof/>
          <w:rtl/>
        </w:rPr>
      </w:pPr>
      <w:bookmarkStart w:id="41" w:name="med4"/>
      <w:bookmarkEnd w:id="41"/>
      <w:r>
        <w:rPr>
          <w:rFonts w:cs="FrankRuehl" w:hint="cs"/>
          <w:noProof/>
          <w:rtl/>
        </w:rPr>
        <w:t xml:space="preserve">פרק ה' </w:t>
      </w:r>
      <w:r>
        <w:rPr>
          <w:rFonts w:cs="FrankRuehl" w:hint="cs"/>
          <w:noProof/>
        </w:rPr>
        <w:t>–</w:t>
      </w:r>
      <w:r>
        <w:rPr>
          <w:rFonts w:cs="FrankRuehl" w:hint="cs"/>
          <w:noProof/>
          <w:rtl/>
        </w:rPr>
        <w:t xml:space="preserve"> הוראות שונות</w:t>
      </w:r>
    </w:p>
    <w:p w:rsidR="00547F36" w:rsidRDefault="00547F36">
      <w:pPr>
        <w:pStyle w:val="P00"/>
        <w:spacing w:before="72"/>
        <w:ind w:left="0" w:right="1134"/>
        <w:rPr>
          <w:rStyle w:val="default"/>
          <w:rFonts w:cs="FrankRuehl" w:hint="cs"/>
          <w:rtl/>
        </w:rPr>
      </w:pPr>
      <w:bookmarkStart w:id="42" w:name="Seif23"/>
      <w:bookmarkEnd w:id="42"/>
      <w:r>
        <w:rPr>
          <w:rFonts w:cs="Miriam"/>
          <w:lang w:val="he-IL"/>
        </w:rPr>
        <w:pict>
          <v:rect id="_x0000_s1272" style="position:absolute;left:0;text-align:left;margin-left:464.35pt;margin-top:7.1pt;width:75.05pt;height:10.15pt;z-index:251658752" o:allowincell="f" filled="f" stroked="f" strokecolor="lime" strokeweight=".25pt">
            <v:textbox style="mso-next-textbox:#_x0000_s1272" inset="0,0,0,0">
              <w:txbxContent>
                <w:p w:rsidR="00547F36" w:rsidRDefault="00547F36">
                  <w:pPr>
                    <w:spacing w:line="160" w:lineRule="exact"/>
                    <w:rPr>
                      <w:rFonts w:cs="Miriam" w:hint="cs"/>
                      <w:noProof/>
                      <w:sz w:val="18"/>
                      <w:szCs w:val="18"/>
                      <w:rtl/>
                    </w:rPr>
                  </w:pPr>
                  <w:r>
                    <w:rPr>
                      <w:rFonts w:cs="Miriam" w:hint="cs"/>
                      <w:sz w:val="18"/>
                      <w:szCs w:val="18"/>
                      <w:rtl/>
                    </w:rPr>
                    <w:t>כוחו של הרוב</w:t>
                  </w:r>
                </w:p>
              </w:txbxContent>
            </v:textbox>
            <w10:anchorlock/>
          </v:rect>
        </w:pict>
      </w:r>
      <w:r>
        <w:rPr>
          <w:rStyle w:val="big-number"/>
          <w:rFonts w:cs="Miriam" w:hint="cs"/>
          <w:rtl/>
        </w:rPr>
        <w:t>23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כל דבר שעשייתו מוטלת לפי תחיקת בטחון או מכוחה על מספר בני-אדם שהם יותר משני</w:t>
      </w:r>
      <w:r w:rsidR="0034066E">
        <w:rPr>
          <w:rStyle w:val="default"/>
          <w:rFonts w:cs="FrankRuehl" w:hint="cs"/>
          <w:rtl/>
        </w:rPr>
        <w:t>י</w:t>
      </w:r>
      <w:r>
        <w:rPr>
          <w:rStyle w:val="default"/>
          <w:rFonts w:cs="FrankRuehl" w:hint="cs"/>
          <w:rtl/>
        </w:rPr>
        <w:t xml:space="preserve">ם </w:t>
      </w:r>
      <w:r>
        <w:rPr>
          <w:rStyle w:val="default"/>
          <w:rFonts w:cs="FrankRuehl"/>
          <w:rtl/>
        </w:rPr>
        <w:t>–</w:t>
      </w:r>
      <w:r>
        <w:rPr>
          <w:rStyle w:val="default"/>
          <w:rFonts w:cs="FrankRuehl" w:hint="cs"/>
          <w:rtl/>
        </w:rPr>
        <w:t xml:space="preserve"> עשייתו כשורה אם נעשתה בידי רובם; והוא כשאין הוראה מפורשת אחרת.</w:t>
      </w:r>
    </w:p>
    <w:p w:rsidR="00547F36" w:rsidRDefault="00547F36" w:rsidP="003406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בסעיף</w:t>
      </w:r>
      <w:r w:rsidR="0034066E">
        <w:rPr>
          <w:rStyle w:val="default"/>
          <w:rFonts w:cs="FrankRuehl" w:hint="cs"/>
          <w:rtl/>
        </w:rPr>
        <w:t xml:space="preserve"> </w:t>
      </w:r>
      <w:r>
        <w:rPr>
          <w:rStyle w:val="default"/>
          <w:rFonts w:cs="FrankRuehl" w:hint="cs"/>
          <w:rtl/>
        </w:rPr>
        <w:t>קטן (א) אינו גורע מחובתו, מחבותו או מאחריותו של אדם לפי תחיקת בטחון או מכוחה.</w:t>
      </w:r>
    </w:p>
    <w:p w:rsidR="00547F36" w:rsidRDefault="00547F36">
      <w:pPr>
        <w:pStyle w:val="P00"/>
        <w:spacing w:before="72"/>
        <w:ind w:left="0" w:right="1134"/>
        <w:rPr>
          <w:rStyle w:val="default"/>
          <w:rFonts w:cs="FrankRuehl" w:hint="cs"/>
          <w:rtl/>
        </w:rPr>
      </w:pPr>
      <w:bookmarkStart w:id="43" w:name="Seif24"/>
      <w:bookmarkEnd w:id="43"/>
      <w:r>
        <w:rPr>
          <w:rFonts w:cs="Miriam"/>
          <w:lang w:val="he-IL"/>
        </w:rPr>
        <w:pict>
          <v:rect id="_x0000_s1273" style="position:absolute;left:0;text-align:left;margin-left:464.35pt;margin-top:7.1pt;width:75.05pt;height:10.15pt;z-index:251659776" o:allowincell="f" filled="f" stroked="f" strokecolor="lime" strokeweight=".25pt">
            <v:textbox style="mso-next-textbox:#_x0000_s1273" inset="0,0,0,0">
              <w:txbxContent>
                <w:p w:rsidR="00547F36" w:rsidRDefault="00547F36">
                  <w:pPr>
                    <w:spacing w:line="160" w:lineRule="exact"/>
                    <w:rPr>
                      <w:rFonts w:cs="Miriam" w:hint="cs"/>
                      <w:noProof/>
                      <w:sz w:val="18"/>
                      <w:szCs w:val="18"/>
                      <w:rtl/>
                    </w:rPr>
                  </w:pPr>
                  <w:r>
                    <w:rPr>
                      <w:rFonts w:cs="Miriam" w:hint="cs"/>
                      <w:sz w:val="18"/>
                      <w:szCs w:val="18"/>
                      <w:rtl/>
                    </w:rPr>
                    <w:t>פירוש אזכורים</w:t>
                  </w:r>
                </w:p>
              </w:txbxContent>
            </v:textbox>
            <w10:anchorlock/>
          </v:rect>
        </w:pict>
      </w:r>
      <w:r>
        <w:rPr>
          <w:rStyle w:val="big-number"/>
          <w:rFonts w:cs="Miriam" w:hint="cs"/>
          <w:rtl/>
        </w:rPr>
        <w:t>24</w:t>
      </w:r>
      <w:r>
        <w:rPr>
          <w:rStyle w:val="default"/>
          <w:rFonts w:cs="FrankRuehl"/>
          <w:rtl/>
        </w:rPr>
        <w:t>.</w:t>
      </w:r>
      <w:r>
        <w:rPr>
          <w:rStyle w:val="default"/>
          <w:rFonts w:cs="FrankRuehl"/>
          <w:rtl/>
        </w:rPr>
        <w:tab/>
      </w:r>
      <w:r>
        <w:rPr>
          <w:rStyle w:val="default"/>
          <w:rFonts w:cs="FrankRuehl" w:hint="cs"/>
          <w:rtl/>
        </w:rPr>
        <w:t>כל מקום בדין או בתחיקת בטחון המאזכר דין או תחיקת בטחון, או חלק, פרק, סימן, כותרת, סעיף או חטיבה אחרת מכל דין או תחיקת בטחון, הכוונה היא לנוסח המתוקן כפי תוקפו באזור אותה שעה; והוא כשאין כוונה אחרת משתמעת.</w:t>
      </w:r>
    </w:p>
    <w:p w:rsidR="005F2390" w:rsidRDefault="005F2390" w:rsidP="005F2390">
      <w:pPr>
        <w:pStyle w:val="P00"/>
        <w:spacing w:before="72"/>
        <w:ind w:left="0" w:right="1134"/>
        <w:rPr>
          <w:rStyle w:val="default"/>
          <w:rFonts w:cs="FrankRuehl" w:hint="cs"/>
          <w:rtl/>
        </w:rPr>
      </w:pPr>
      <w:bookmarkStart w:id="44" w:name="Seif37"/>
      <w:bookmarkEnd w:id="44"/>
      <w:r>
        <w:rPr>
          <w:rFonts w:cs="Miriam"/>
          <w:lang w:val="he-IL"/>
        </w:rPr>
        <w:pict>
          <v:rect id="_x0000_s1314" style="position:absolute;left:0;text-align:left;margin-left:464.35pt;margin-top:7.1pt;width:75.05pt;height:12.95pt;z-index:251673088" o:allowincell="f" filled="f" stroked="f" strokecolor="lime" strokeweight=".25pt">
            <v:textbox style="mso-next-textbox:#_x0000_s1314" inset="0,0,0,0">
              <w:txbxContent>
                <w:p w:rsidR="005F2390" w:rsidRDefault="005F2390" w:rsidP="005F2390">
                  <w:pPr>
                    <w:spacing w:line="160" w:lineRule="exact"/>
                    <w:rPr>
                      <w:rFonts w:cs="Miriam" w:hint="cs"/>
                      <w:noProof/>
                      <w:sz w:val="18"/>
                      <w:szCs w:val="18"/>
                      <w:rtl/>
                    </w:rPr>
                  </w:pPr>
                  <w:r>
                    <w:rPr>
                      <w:rFonts w:cs="Miriam" w:hint="cs"/>
                      <w:sz w:val="18"/>
                      <w:szCs w:val="18"/>
                      <w:rtl/>
                    </w:rPr>
                    <w:t>סטייה מטופס</w:t>
                  </w:r>
                </w:p>
              </w:txbxContent>
            </v:textbox>
            <w10:anchorlock/>
          </v:rect>
        </w:pict>
      </w:r>
      <w:r>
        <w:rPr>
          <w:rStyle w:val="big-number"/>
          <w:rFonts w:cs="Miriam" w:hint="cs"/>
          <w:rtl/>
        </w:rPr>
        <w:t>24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טופס שנקבע בתחיקת בטחון </w:t>
      </w:r>
      <w:r>
        <w:rPr>
          <w:rStyle w:val="default"/>
          <w:rFonts w:cs="FrankRuehl"/>
          <w:rtl/>
        </w:rPr>
        <w:t>–</w:t>
      </w:r>
      <w:r>
        <w:rPr>
          <w:rStyle w:val="default"/>
          <w:rFonts w:cs="FrankRuehl" w:hint="cs"/>
          <w:rtl/>
        </w:rPr>
        <w:t xml:space="preserve"> סטייה קלה ממנו, שאין בה כדי לפגוע בעיקר או להטעות, אינה פוסלת את הנעשה לפיו.</w:t>
      </w:r>
    </w:p>
    <w:p w:rsidR="003F30B4" w:rsidRDefault="003F30B4" w:rsidP="005A0342">
      <w:pPr>
        <w:pStyle w:val="P00"/>
        <w:spacing w:before="72"/>
        <w:ind w:left="0" w:right="1134"/>
        <w:rPr>
          <w:rStyle w:val="default"/>
          <w:rFonts w:cs="FrankRuehl" w:hint="cs"/>
          <w:rtl/>
        </w:rPr>
      </w:pPr>
      <w:bookmarkStart w:id="45" w:name="Seif42"/>
      <w:bookmarkEnd w:id="45"/>
      <w:r>
        <w:rPr>
          <w:rFonts w:cs="Miriam"/>
          <w:lang w:val="he-IL"/>
        </w:rPr>
        <w:pict>
          <v:rect id="_x0000_s1322" style="position:absolute;left:0;text-align:left;margin-left:464.35pt;margin-top:7.1pt;width:75.05pt;height:11.1pt;z-index:251678208" o:allowincell="f" filled="f" stroked="f" strokecolor="lime" strokeweight=".25pt">
            <v:textbox style="mso-next-textbox:#_x0000_s1322" inset="0,0,0,0">
              <w:txbxContent>
                <w:p w:rsidR="003F30B4" w:rsidRPr="005F2390" w:rsidRDefault="005A0342" w:rsidP="003F30B4">
                  <w:pPr>
                    <w:spacing w:line="160" w:lineRule="exact"/>
                    <w:rPr>
                      <w:rFonts w:cs="Miriam"/>
                      <w:sz w:val="18"/>
                      <w:szCs w:val="18"/>
                    </w:rPr>
                  </w:pPr>
                  <w:r>
                    <w:rPr>
                      <w:rFonts w:cs="Miriam" w:hint="cs"/>
                      <w:sz w:val="18"/>
                      <w:szCs w:val="18"/>
                      <w:rtl/>
                    </w:rPr>
                    <w:t>פרסום ברבים</w:t>
                  </w:r>
                </w:p>
              </w:txbxContent>
            </v:textbox>
            <w10:anchorlock/>
          </v:rect>
        </w:pict>
      </w:r>
      <w:r>
        <w:rPr>
          <w:rStyle w:val="big-number"/>
          <w:rFonts w:cs="Miriam" w:hint="cs"/>
          <w:rtl/>
        </w:rPr>
        <w:t>24</w:t>
      </w:r>
      <w:r w:rsidR="005A0342">
        <w:rPr>
          <w:rStyle w:val="default"/>
          <w:rFonts w:cs="FrankRuehl" w:hint="cs"/>
          <w:rtl/>
        </w:rPr>
        <w:t>ב</w:t>
      </w:r>
      <w:r>
        <w:rPr>
          <w:rStyle w:val="default"/>
          <w:rFonts w:cs="FrankRuehl"/>
          <w:rtl/>
        </w:rPr>
        <w:t>.</w:t>
      </w:r>
      <w:r>
        <w:rPr>
          <w:rStyle w:val="default"/>
          <w:rFonts w:cs="FrankRuehl"/>
          <w:rtl/>
        </w:rPr>
        <w:tab/>
      </w:r>
      <w:r w:rsidR="005A0342">
        <w:rPr>
          <w:rStyle w:val="default"/>
          <w:rFonts w:cs="FrankRuehl" w:hint="cs"/>
          <w:rtl/>
        </w:rPr>
        <w:t>(א)</w:t>
      </w:r>
      <w:r w:rsidR="005A0342">
        <w:rPr>
          <w:rStyle w:val="default"/>
          <w:rFonts w:cs="FrankRuehl" w:hint="cs"/>
          <w:rtl/>
        </w:rPr>
        <w:tab/>
        <w:t xml:space="preserve">בסעיף זה </w:t>
      </w:r>
      <w:r w:rsidR="005A0342">
        <w:rPr>
          <w:rStyle w:val="default"/>
          <w:rFonts w:cs="FrankRuehl"/>
          <w:rtl/>
        </w:rPr>
        <w:t>–</w:t>
      </w:r>
      <w:r w:rsidR="005A0342">
        <w:rPr>
          <w:rStyle w:val="default"/>
          <w:rFonts w:cs="FrankRuehl" w:hint="cs"/>
          <w:rtl/>
        </w:rPr>
        <w:t xml:space="preserve"> "העתון הרשמי" </w:t>
      </w:r>
      <w:r w:rsidR="005A0342">
        <w:rPr>
          <w:rStyle w:val="default"/>
          <w:rFonts w:cs="FrankRuehl"/>
          <w:rtl/>
        </w:rPr>
        <w:t>–</w:t>
      </w:r>
      <w:r w:rsidR="005A0342">
        <w:rPr>
          <w:rStyle w:val="default"/>
          <w:rFonts w:cs="FrankRuehl" w:hint="cs"/>
          <w:rtl/>
        </w:rPr>
        <w:t xml:space="preserve"> כמשמעותו בדין</w:t>
      </w:r>
      <w:r>
        <w:rPr>
          <w:rStyle w:val="default"/>
          <w:rFonts w:cs="FrankRuehl" w:hint="cs"/>
          <w:rtl/>
        </w:rPr>
        <w:t>.</w:t>
      </w:r>
    </w:p>
    <w:p w:rsidR="005A0342" w:rsidRDefault="005A0342" w:rsidP="005A03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הוראה בדין המדברת בפרסום בעתון הרשמי, בין כרשות ובין כחובה, וכן על מנהג לפרסם כאמור, יתפרשו כמדברים בפרסום ברבים בדרך המספיקה, לדעת מפקד כוחות צה"ל באזור, להביאה לידיעת הנוגעים בדבר.</w:t>
      </w:r>
    </w:p>
    <w:p w:rsidR="005A0342" w:rsidRDefault="005A0342" w:rsidP="005A03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לצורך סעיף זה יראו כדרך מספיקה לפרסום ברבים כל אחת מדרכי הפרסום דלקמן:</w:t>
      </w:r>
    </w:p>
    <w:p w:rsidR="005A0342" w:rsidRDefault="005A0342" w:rsidP="004A35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פרסום באמצעות הרדיו;</w:t>
      </w:r>
    </w:p>
    <w:p w:rsidR="005A0342" w:rsidRDefault="005A0342" w:rsidP="004A35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הדבקה בבתי המשפט באזור;</w:t>
      </w:r>
    </w:p>
    <w:p w:rsidR="005A0342" w:rsidRDefault="005A0342" w:rsidP="004A35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הדבקה במשרדיהם</w:t>
      </w:r>
      <w:r w:rsidR="004A35AC">
        <w:rPr>
          <w:rStyle w:val="default"/>
          <w:rFonts w:cs="FrankRuehl" w:hint="cs"/>
          <w:rtl/>
        </w:rPr>
        <w:t xml:space="preserve"> של מפקדי הנפות;</w:t>
      </w:r>
    </w:p>
    <w:p w:rsidR="004A35AC" w:rsidRDefault="004A35AC" w:rsidP="004A35A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במקרה של פרסום המתייחס לתושבי עיר או כפר </w:t>
      </w:r>
      <w:r>
        <w:rPr>
          <w:rStyle w:val="default"/>
          <w:rFonts w:cs="FrankRuehl"/>
          <w:rtl/>
        </w:rPr>
        <w:t>–</w:t>
      </w:r>
      <w:r>
        <w:rPr>
          <w:rStyle w:val="default"/>
          <w:rFonts w:cs="FrankRuehl" w:hint="cs"/>
          <w:rtl/>
        </w:rPr>
        <w:t xml:space="preserve"> הדבקה במשרדי העיריה או בביתו של המוכתר, הכל לפי הענין.</w:t>
      </w:r>
    </w:p>
    <w:p w:rsidR="00547F36" w:rsidRDefault="00547F36" w:rsidP="004A35AC">
      <w:pPr>
        <w:pStyle w:val="P00"/>
        <w:spacing w:before="72"/>
        <w:ind w:left="0" w:right="1134"/>
        <w:rPr>
          <w:rStyle w:val="default"/>
          <w:rFonts w:cs="FrankRuehl" w:hint="cs"/>
          <w:rtl/>
        </w:rPr>
      </w:pPr>
      <w:bookmarkStart w:id="46" w:name="Seif25"/>
      <w:bookmarkEnd w:id="46"/>
      <w:r>
        <w:rPr>
          <w:rFonts w:cs="Miriam"/>
          <w:lang w:val="he-IL"/>
        </w:rPr>
        <w:pict>
          <v:rect id="_x0000_s1274" style="position:absolute;left:0;text-align:left;margin-left:464.35pt;margin-top:7.1pt;width:75.05pt;height:10.15pt;z-index:251660800" o:allowincell="f" filled="f" stroked="f" strokecolor="lime" strokeweight=".25pt">
            <v:textbox style="mso-next-textbox:#_x0000_s1274" inset="0,0,0,0">
              <w:txbxContent>
                <w:p w:rsidR="00547F36" w:rsidRDefault="00547F36">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25</w:t>
      </w:r>
      <w:r>
        <w:rPr>
          <w:rStyle w:val="default"/>
          <w:rFonts w:cs="FrankRuehl"/>
          <w:rtl/>
        </w:rPr>
        <w:t>.</w:t>
      </w:r>
      <w:r>
        <w:rPr>
          <w:rStyle w:val="default"/>
          <w:rFonts w:cs="FrankRuehl"/>
          <w:rtl/>
        </w:rPr>
        <w:tab/>
      </w:r>
      <w:r w:rsidR="004A35AC">
        <w:rPr>
          <w:rStyle w:val="default"/>
          <w:rFonts w:cs="FrankRuehl" w:hint="cs"/>
          <w:rtl/>
        </w:rPr>
        <w:t>כל הוראה בדין המדברת בפרסום בעתון הרשמי, בין כרשות ובין כחובה, וכן על מנהג לפרסם כאמור, יתפרשו כמדברים בפרסום ברבים בדרך המספיקה, לדעת מפקד כוחות צה"ל באזור, להביאה לידיעת הנוגעים בדבר</w:t>
      </w:r>
      <w:r>
        <w:rPr>
          <w:rStyle w:val="default"/>
          <w:rFonts w:cs="FrankRuehl" w:hint="cs"/>
          <w:rtl/>
        </w:rPr>
        <w:t>.</w:t>
      </w:r>
    </w:p>
    <w:p w:rsidR="00547F36" w:rsidRDefault="00547F36" w:rsidP="004A35AC">
      <w:pPr>
        <w:pStyle w:val="P00"/>
        <w:spacing w:before="72"/>
        <w:ind w:left="0" w:right="1134"/>
        <w:rPr>
          <w:rStyle w:val="default"/>
          <w:rFonts w:cs="FrankRuehl" w:hint="cs"/>
          <w:rtl/>
        </w:rPr>
      </w:pPr>
      <w:bookmarkStart w:id="47" w:name="Seif26"/>
      <w:bookmarkEnd w:id="47"/>
      <w:r>
        <w:rPr>
          <w:rFonts w:cs="Miriam"/>
          <w:lang w:val="he-IL"/>
        </w:rPr>
        <w:pict>
          <v:rect id="_x0000_s1275" style="position:absolute;left:0;text-align:left;margin-left:464.35pt;margin-top:7.1pt;width:75.05pt;height:10.15pt;z-index:251661824" o:allowincell="f" filled="f" stroked="f" strokecolor="lime" strokeweight=".25pt">
            <v:textbox style="mso-next-textbox:#_x0000_s1275" inset="0,0,0,0">
              <w:txbxContent>
                <w:p w:rsidR="00547F36" w:rsidRDefault="004A35AC">
                  <w:pPr>
                    <w:spacing w:line="160" w:lineRule="exact"/>
                    <w:rPr>
                      <w:rFonts w:cs="Miriam" w:hint="cs"/>
                      <w:noProof/>
                      <w:sz w:val="18"/>
                      <w:szCs w:val="18"/>
                      <w:rtl/>
                    </w:rPr>
                  </w:pPr>
                  <w:r>
                    <w:rPr>
                      <w:rFonts w:cs="Miriam" w:hint="cs"/>
                      <w:sz w:val="18"/>
                      <w:szCs w:val="18"/>
                      <w:rtl/>
                    </w:rPr>
                    <w:t>תיקונים עקיפים</w:t>
                  </w:r>
                </w:p>
              </w:txbxContent>
            </v:textbox>
            <w10:anchorlock/>
          </v:rect>
        </w:pict>
      </w:r>
      <w:r>
        <w:rPr>
          <w:rStyle w:val="big-number"/>
          <w:rFonts w:cs="Miriam" w:hint="cs"/>
          <w:rtl/>
        </w:rPr>
        <w:t>26</w:t>
      </w:r>
      <w:r>
        <w:rPr>
          <w:rStyle w:val="default"/>
          <w:rFonts w:cs="FrankRuehl"/>
          <w:rtl/>
        </w:rPr>
        <w:t>.</w:t>
      </w:r>
      <w:r>
        <w:rPr>
          <w:rStyle w:val="default"/>
          <w:rFonts w:cs="FrankRuehl"/>
          <w:rtl/>
        </w:rPr>
        <w:tab/>
      </w:r>
      <w:r w:rsidR="004A35AC">
        <w:rPr>
          <w:rStyle w:val="default"/>
          <w:rFonts w:cs="FrankRuehl" w:hint="cs"/>
          <w:rtl/>
        </w:rPr>
        <w:t>בצו בדבר הוראות ביטחון [נוסח משולב] (יהודה והשומרון) (מס' 1651), התש"ע-2009, בסעיף 259, בהגדרת "עבירה בטחונית", במקום "בצו בדבר פרשנות (הוראות נוספות) (מס' 5) (יהודה והשומרון) (מס' 224), תשכ"ח-1968" יבוא "בסעיף 9ה לצו בדבר פרשנות [נוסח משולב] (יהודה והשומרון) (מס' 1729), התשע"ד-2013</w:t>
      </w:r>
      <w:r w:rsidR="003C15F9">
        <w:rPr>
          <w:rStyle w:val="default"/>
          <w:rFonts w:cs="FrankRuehl" w:hint="cs"/>
          <w:rtl/>
        </w:rPr>
        <w:t>"</w:t>
      </w:r>
      <w:r>
        <w:rPr>
          <w:rStyle w:val="default"/>
          <w:rFonts w:cs="FrankRuehl" w:hint="cs"/>
          <w:rtl/>
        </w:rPr>
        <w:t>.</w:t>
      </w:r>
    </w:p>
    <w:p w:rsidR="003F30B4" w:rsidRDefault="003F30B4">
      <w:pPr>
        <w:pStyle w:val="P00"/>
        <w:spacing w:before="72"/>
        <w:ind w:left="0" w:right="1134"/>
        <w:rPr>
          <w:rStyle w:val="default"/>
          <w:rFonts w:cs="FrankRuehl" w:hint="cs"/>
          <w:rtl/>
        </w:rPr>
      </w:pPr>
    </w:p>
    <w:p w:rsidR="003F30B4" w:rsidRDefault="003C15F9">
      <w:pPr>
        <w:pStyle w:val="P00"/>
        <w:spacing w:before="72"/>
        <w:ind w:left="0" w:right="1134"/>
        <w:rPr>
          <w:rStyle w:val="default"/>
          <w:rFonts w:cs="FrankRuehl" w:hint="cs"/>
          <w:rtl/>
        </w:rPr>
      </w:pPr>
      <w:r>
        <w:rPr>
          <w:rStyle w:val="default"/>
          <w:rFonts w:cs="FrankRuehl" w:hint="cs"/>
          <w:rtl/>
        </w:rPr>
        <w:t>טבלת הטמעה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7"/>
        <w:gridCol w:w="810"/>
        <w:gridCol w:w="1031"/>
      </w:tblGrid>
      <w:tr w:rsidR="007B2DB9" w:rsidRPr="002E2A16" w:rsidTr="002E2A16">
        <w:tc>
          <w:tcPr>
            <w:tcW w:w="6097" w:type="dxa"/>
            <w:shd w:val="clear" w:color="auto" w:fill="auto"/>
          </w:tcPr>
          <w:p w:rsidR="003C15F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2E2A16">
              <w:rPr>
                <w:rStyle w:val="default"/>
                <w:rFonts w:cs="FrankRuehl" w:hint="cs"/>
                <w:sz w:val="22"/>
                <w:szCs w:val="22"/>
                <w:rtl/>
              </w:rPr>
              <w:t>שם הצו המוטמע</w:t>
            </w:r>
          </w:p>
        </w:tc>
        <w:tc>
          <w:tcPr>
            <w:tcW w:w="810" w:type="dxa"/>
            <w:shd w:val="clear" w:color="auto" w:fill="auto"/>
          </w:tcPr>
          <w:p w:rsidR="003C15F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2E2A16">
              <w:rPr>
                <w:rStyle w:val="default"/>
                <w:rFonts w:cs="FrankRuehl" w:hint="cs"/>
                <w:sz w:val="22"/>
                <w:szCs w:val="22"/>
                <w:rtl/>
              </w:rPr>
              <w:t>מס' הסעיף</w:t>
            </w:r>
          </w:p>
        </w:tc>
        <w:tc>
          <w:tcPr>
            <w:tcW w:w="1031" w:type="dxa"/>
            <w:shd w:val="clear" w:color="auto" w:fill="auto"/>
          </w:tcPr>
          <w:p w:rsidR="003C15F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2E2A16">
              <w:rPr>
                <w:rStyle w:val="default"/>
                <w:rFonts w:cs="FrankRuehl" w:hint="cs"/>
                <w:sz w:val="22"/>
                <w:szCs w:val="22"/>
                <w:rtl/>
              </w:rPr>
              <w:t>מס' הסעיף בנוסח המשולב</w:t>
            </w:r>
          </w:p>
        </w:tc>
      </w:tr>
      <w:tr w:rsidR="007B2DB9" w:rsidRPr="002E2A16" w:rsidTr="002E2A16">
        <w:tc>
          <w:tcPr>
            <w:tcW w:w="6097" w:type="dxa"/>
            <w:vMerge w:val="restart"/>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צו בדבר פרשנות (הוראות נוספות) (מס' 1) (אזור הגדה המערבית) (מס' 160), תשכ"ח-1967</w:t>
            </w: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1</w:t>
            </w: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9ד(א)</w:t>
            </w:r>
          </w:p>
        </w:tc>
      </w:tr>
      <w:tr w:rsidR="007B2DB9" w:rsidRPr="002E2A16" w:rsidTr="002E2A16">
        <w:tc>
          <w:tcPr>
            <w:tcW w:w="6097" w:type="dxa"/>
            <w:vMerge/>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2</w:t>
            </w: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9(ד)(ב)</w:t>
            </w:r>
          </w:p>
        </w:tc>
      </w:tr>
      <w:tr w:rsidR="007B2DB9" w:rsidRPr="002E2A16" w:rsidTr="002E2A16">
        <w:tc>
          <w:tcPr>
            <w:tcW w:w="6097" w:type="dxa"/>
            <w:vMerge w:val="restart"/>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צו בדבר פרשנות (הוראות נוספות) (מס' 2) (אזור הגדה המערבית) (מס' 161), תשכ"ח-1967</w:t>
            </w: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1</w:t>
            </w: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24ב(א)</w:t>
            </w:r>
          </w:p>
        </w:tc>
      </w:tr>
      <w:tr w:rsidR="007B2DB9" w:rsidRPr="002E2A16" w:rsidTr="002E2A16">
        <w:tc>
          <w:tcPr>
            <w:tcW w:w="6097" w:type="dxa"/>
            <w:vMerge/>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24ב(ב)</w:t>
            </w:r>
          </w:p>
        </w:tc>
      </w:tr>
      <w:tr w:rsidR="007B2DB9" w:rsidRPr="002E2A16" w:rsidTr="002E2A16">
        <w:tc>
          <w:tcPr>
            <w:tcW w:w="6097" w:type="dxa"/>
            <w:shd w:val="clear" w:color="auto" w:fill="auto"/>
          </w:tcPr>
          <w:p w:rsidR="003C15F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הוראות מכוח צו בדבר פרשנות (הוראות נוספות) (מס' 2) (אזור הגדה המערבית) (מס' 161), תשכ"ח-1967</w:t>
            </w:r>
          </w:p>
        </w:tc>
        <w:tc>
          <w:tcPr>
            <w:tcW w:w="810" w:type="dxa"/>
            <w:shd w:val="clear" w:color="auto" w:fill="auto"/>
          </w:tcPr>
          <w:p w:rsidR="003C15F9" w:rsidRPr="002E2A16" w:rsidRDefault="003C15F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031" w:type="dxa"/>
            <w:shd w:val="clear" w:color="auto" w:fill="auto"/>
          </w:tcPr>
          <w:p w:rsidR="003C15F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24ב(ג)</w:t>
            </w:r>
          </w:p>
        </w:tc>
      </w:tr>
      <w:tr w:rsidR="007B2DB9" w:rsidRPr="002E2A16" w:rsidTr="002E2A16">
        <w:tc>
          <w:tcPr>
            <w:tcW w:w="6097" w:type="dxa"/>
            <w:shd w:val="clear" w:color="auto" w:fill="auto"/>
          </w:tcPr>
          <w:p w:rsidR="003C15F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צו בדבר פרשנות (הוראות נוספות) (מס' 3) (אזור הגדרה המערבית) (מס' 187), תשכ"ח-1967</w:t>
            </w:r>
          </w:p>
        </w:tc>
        <w:tc>
          <w:tcPr>
            <w:tcW w:w="810" w:type="dxa"/>
            <w:shd w:val="clear" w:color="auto" w:fill="auto"/>
          </w:tcPr>
          <w:p w:rsidR="003C15F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1</w:t>
            </w:r>
          </w:p>
        </w:tc>
        <w:tc>
          <w:tcPr>
            <w:tcW w:w="1031" w:type="dxa"/>
            <w:shd w:val="clear" w:color="auto" w:fill="auto"/>
          </w:tcPr>
          <w:p w:rsidR="003C15F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1א</w:t>
            </w:r>
          </w:p>
        </w:tc>
      </w:tr>
      <w:tr w:rsidR="007B2DB9" w:rsidRPr="002E2A16" w:rsidTr="002E2A16">
        <w:tc>
          <w:tcPr>
            <w:tcW w:w="6097" w:type="dxa"/>
            <w:vMerge w:val="restart"/>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צו בדבר פרשנות (הוראות נוספות) (מס' 5) (יהודה והשומרון) (מס' 224), תשכ"ח-1968</w:t>
            </w: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1</w:t>
            </w: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9ה(א)</w:t>
            </w:r>
          </w:p>
        </w:tc>
      </w:tr>
      <w:tr w:rsidR="007B2DB9" w:rsidRPr="002E2A16" w:rsidTr="002E2A16">
        <w:tc>
          <w:tcPr>
            <w:tcW w:w="6097" w:type="dxa"/>
            <w:vMerge/>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2(1)</w:t>
            </w: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9ה(ב)</w:t>
            </w:r>
          </w:p>
        </w:tc>
      </w:tr>
      <w:tr w:rsidR="007B2DB9" w:rsidRPr="002E2A16" w:rsidTr="002E2A16">
        <w:tc>
          <w:tcPr>
            <w:tcW w:w="6097" w:type="dxa"/>
            <w:vMerge/>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2(2)</w:t>
            </w: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9ה(ג)</w:t>
            </w:r>
          </w:p>
        </w:tc>
      </w:tr>
      <w:tr w:rsidR="007B2DB9" w:rsidRPr="002E2A16" w:rsidTr="002E2A16">
        <w:tc>
          <w:tcPr>
            <w:tcW w:w="6097" w:type="dxa"/>
            <w:vMerge/>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3</w:t>
            </w: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9ה(ד)</w:t>
            </w:r>
          </w:p>
        </w:tc>
      </w:tr>
      <w:tr w:rsidR="007B2DB9" w:rsidRPr="002E2A16" w:rsidTr="002E2A16">
        <w:tc>
          <w:tcPr>
            <w:tcW w:w="6097" w:type="dxa"/>
            <w:vMerge w:val="restart"/>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צו בדבר פרשנות (הוראות נוספות) (מס' 6) (יהודה והשומרון) (מס' 946), התשמ"ב-1981</w:t>
            </w: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1</w:t>
            </w: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1ב(א)</w:t>
            </w:r>
          </w:p>
        </w:tc>
      </w:tr>
      <w:tr w:rsidR="007B2DB9" w:rsidRPr="002E2A16" w:rsidTr="002E2A16">
        <w:tc>
          <w:tcPr>
            <w:tcW w:w="6097" w:type="dxa"/>
            <w:vMerge/>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810"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2</w:t>
            </w:r>
          </w:p>
        </w:tc>
        <w:tc>
          <w:tcPr>
            <w:tcW w:w="1031" w:type="dxa"/>
            <w:shd w:val="clear" w:color="auto" w:fill="auto"/>
          </w:tcPr>
          <w:p w:rsidR="007B2DB9" w:rsidRPr="002E2A16" w:rsidRDefault="007B2DB9" w:rsidP="002E2A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E2A16">
              <w:rPr>
                <w:rStyle w:val="default"/>
                <w:rFonts w:cs="FrankRuehl" w:hint="cs"/>
                <w:sz w:val="20"/>
                <w:szCs w:val="24"/>
                <w:rtl/>
              </w:rPr>
              <w:t>1ב(ב)</w:t>
            </w:r>
          </w:p>
        </w:tc>
      </w:tr>
    </w:tbl>
    <w:p w:rsidR="00547F36" w:rsidRDefault="00547F36">
      <w:pPr>
        <w:pStyle w:val="P00"/>
        <w:spacing w:before="72"/>
        <w:ind w:left="0" w:right="1134"/>
        <w:rPr>
          <w:rStyle w:val="default"/>
          <w:rFonts w:cs="FrankRuehl" w:hint="cs"/>
          <w:rtl/>
        </w:rPr>
      </w:pPr>
    </w:p>
    <w:p w:rsidR="00D2058C" w:rsidRDefault="00D2058C">
      <w:pPr>
        <w:pStyle w:val="P00"/>
        <w:spacing w:before="72"/>
        <w:ind w:left="0" w:right="1134"/>
        <w:rPr>
          <w:rStyle w:val="default"/>
          <w:rFonts w:cs="FrankRuehl" w:hint="cs"/>
          <w:rtl/>
        </w:rPr>
      </w:pPr>
    </w:p>
    <w:p w:rsidR="00A61D5B" w:rsidRDefault="00A61D5B" w:rsidP="007B2DB9">
      <w:pPr>
        <w:pStyle w:val="P00"/>
        <w:spacing w:before="72"/>
        <w:ind w:left="0" w:right="1134"/>
        <w:rPr>
          <w:rStyle w:val="default"/>
          <w:rFonts w:cs="FrankRuehl"/>
          <w:rtl/>
        </w:rPr>
      </w:pPr>
    </w:p>
    <w:p w:rsidR="00A61D5B" w:rsidRDefault="00A61D5B" w:rsidP="007B2DB9">
      <w:pPr>
        <w:pStyle w:val="P00"/>
        <w:spacing w:before="72"/>
        <w:ind w:left="0" w:right="1134"/>
        <w:rPr>
          <w:rStyle w:val="default"/>
          <w:rFonts w:cs="FrankRuehl"/>
          <w:rtl/>
        </w:rPr>
      </w:pPr>
    </w:p>
    <w:p w:rsidR="00A61D5B" w:rsidRDefault="00A61D5B" w:rsidP="00A61D5B">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A04B92" w:rsidRPr="00A61D5B" w:rsidRDefault="00A04B92" w:rsidP="00A61D5B">
      <w:pPr>
        <w:pStyle w:val="P00"/>
        <w:spacing w:before="72"/>
        <w:ind w:left="0" w:right="1134"/>
        <w:jc w:val="center"/>
        <w:rPr>
          <w:rStyle w:val="default"/>
          <w:rFonts w:cs="David"/>
          <w:color w:val="0000FF"/>
          <w:szCs w:val="24"/>
          <w:u w:val="single"/>
          <w:rtl/>
        </w:rPr>
      </w:pPr>
    </w:p>
    <w:sectPr w:rsidR="00A04B92" w:rsidRPr="00A61D5B">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7E4F" w:rsidRDefault="00627E4F">
      <w:r>
        <w:separator/>
      </w:r>
    </w:p>
  </w:endnote>
  <w:endnote w:type="continuationSeparator" w:id="0">
    <w:p w:rsidR="00627E4F" w:rsidRDefault="0062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F36" w:rsidRDefault="00547F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47F36" w:rsidRDefault="00547F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7F36" w:rsidRDefault="00547F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4B92">
      <w:rPr>
        <w:rFonts w:cs="TopType Jerushalmi"/>
        <w:noProof/>
        <w:color w:val="000000"/>
        <w:sz w:val="14"/>
        <w:szCs w:val="14"/>
      </w:rPr>
      <w:t>Y:\000000000000-law\yael\10-03-16\666_005.doc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F36" w:rsidRDefault="00547F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1EC9">
      <w:rPr>
        <w:rFonts w:hAnsi="FrankRuehl" w:cs="FrankRuehl"/>
        <w:noProof/>
        <w:sz w:val="24"/>
        <w:szCs w:val="24"/>
        <w:rtl/>
      </w:rPr>
      <w:t>10</w:t>
    </w:r>
    <w:r>
      <w:rPr>
        <w:rFonts w:hAnsi="FrankRuehl" w:cs="FrankRuehl"/>
        <w:sz w:val="24"/>
        <w:szCs w:val="24"/>
        <w:rtl/>
      </w:rPr>
      <w:fldChar w:fldCharType="end"/>
    </w:r>
  </w:p>
  <w:p w:rsidR="00547F36" w:rsidRDefault="00547F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7F36" w:rsidRDefault="00547F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4B92">
      <w:rPr>
        <w:rFonts w:cs="TopType Jerushalmi"/>
        <w:noProof/>
        <w:color w:val="000000"/>
        <w:sz w:val="14"/>
        <w:szCs w:val="14"/>
      </w:rPr>
      <w:t>Y:\000000000000-law\yael\10-03-16\666_005.doc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7E4F" w:rsidRDefault="00627E4F">
      <w:pPr>
        <w:pStyle w:val="a5"/>
        <w:rPr>
          <w:rFonts w:cs="David"/>
          <w:sz w:val="24"/>
          <w:szCs w:val="24"/>
        </w:rPr>
      </w:pPr>
      <w:r>
        <w:separator/>
      </w:r>
    </w:p>
  </w:footnote>
  <w:footnote w:type="continuationSeparator" w:id="0">
    <w:p w:rsidR="00627E4F" w:rsidRDefault="00627E4F">
      <w:r>
        <w:continuationSeparator/>
      </w:r>
    </w:p>
  </w:footnote>
  <w:footnote w:id="1">
    <w:p w:rsidR="00CD0CFB" w:rsidRDefault="00547F36" w:rsidP="00CD0C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CD0CFB">
          <w:rPr>
            <w:rStyle w:val="Hyperlink"/>
            <w:rFonts w:cs="FrankRuehl"/>
            <w:rtl/>
          </w:rPr>
          <w:t xml:space="preserve">קובץ המנשרים מס' </w:t>
        </w:r>
        <w:r w:rsidR="00B128CD" w:rsidRPr="00CD0CFB">
          <w:rPr>
            <w:rStyle w:val="Hyperlink"/>
            <w:rFonts w:cs="FrankRuehl" w:hint="cs"/>
            <w:rtl/>
          </w:rPr>
          <w:t>241</w:t>
        </w:r>
      </w:hyperlink>
      <w:r>
        <w:rPr>
          <w:rFonts w:cs="FrankRuehl" w:hint="cs"/>
          <w:rtl/>
        </w:rPr>
        <w:t xml:space="preserve"> </w:t>
      </w:r>
      <w:r w:rsidR="00B128CD">
        <w:rPr>
          <w:rFonts w:cs="FrankRuehl" w:hint="cs"/>
          <w:rtl/>
        </w:rPr>
        <w:t>מחודש יולי 2014</w:t>
      </w:r>
      <w:r>
        <w:rPr>
          <w:rFonts w:cs="FrankRuehl" w:hint="cs"/>
          <w:rtl/>
        </w:rPr>
        <w:t xml:space="preserve"> עמ' </w:t>
      </w:r>
      <w:r w:rsidR="00B128CD">
        <w:rPr>
          <w:rFonts w:cs="FrankRuehl" w:hint="cs"/>
          <w:rtl/>
        </w:rPr>
        <w:t>7035</w:t>
      </w:r>
      <w:r>
        <w:rPr>
          <w:rFonts w:cs="FrankRuehl" w:hint="cs"/>
          <w:rtl/>
        </w:rPr>
        <w:t>.</w:t>
      </w:r>
    </w:p>
    <w:p w:rsidR="00F10D53" w:rsidRDefault="00B128CD" w:rsidP="00B128CD">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הודעה על נוסח משולב שיבוא במקום צו בדבר פרשנות (יהודה והשומרון) (מס' 130), תשכ"ז-1967 וצווים נוספים כמפורט בפרסום. תחילת תוקף הנוסח המשולב ביום 8.12.2013.</w:t>
      </w:r>
    </w:p>
    <w:p w:rsidR="00D41EC9" w:rsidRDefault="009844B8" w:rsidP="00D41E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D41EC9">
          <w:rPr>
            <w:rStyle w:val="Hyperlink"/>
            <w:rFonts w:cs="FrankRuehl" w:hint="cs"/>
            <w:rtl/>
          </w:rPr>
          <w:t>קובץ המנשרים מס' 246</w:t>
        </w:r>
      </w:hyperlink>
      <w:r>
        <w:rPr>
          <w:rFonts w:cs="FrankRuehl" w:hint="cs"/>
          <w:rtl/>
        </w:rPr>
        <w:t xml:space="preserve"> מחודש מאי 2018 עמ' 8294 </w:t>
      </w:r>
      <w:r>
        <w:rPr>
          <w:rFonts w:cs="FrankRuehl"/>
          <w:rtl/>
        </w:rPr>
        <w:t>–</w:t>
      </w:r>
      <w:r>
        <w:rPr>
          <w:rFonts w:cs="FrankRuehl" w:hint="cs"/>
          <w:rtl/>
        </w:rPr>
        <w:t xml:space="preserve"> תיקון מס' 1 (מס' 1793) תשע"ח-2017; תחילתו ביום 31.12.2017.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F36" w:rsidRDefault="00547F3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47F36" w:rsidRDefault="00547F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7F36" w:rsidRDefault="00547F3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F36" w:rsidRDefault="00547F36" w:rsidP="00B128C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פרשנות </w:t>
    </w:r>
    <w:r w:rsidR="00B128CD">
      <w:rPr>
        <w:rFonts w:hAnsi="FrankRuehl" w:cs="FrankRuehl" w:hint="cs"/>
        <w:color w:val="000000"/>
        <w:sz w:val="28"/>
        <w:szCs w:val="28"/>
        <w:rtl/>
      </w:rPr>
      <w:t xml:space="preserve">[נוסח משולב] </w:t>
    </w:r>
    <w:r>
      <w:rPr>
        <w:rFonts w:hAnsi="FrankRuehl" w:cs="FrankRuehl" w:hint="cs"/>
        <w:color w:val="000000"/>
        <w:sz w:val="28"/>
        <w:szCs w:val="28"/>
        <w:rtl/>
      </w:rPr>
      <w:t xml:space="preserve">(יהודה והשומרון) (מס' </w:t>
    </w:r>
    <w:r w:rsidR="00B128CD">
      <w:rPr>
        <w:rFonts w:hAnsi="FrankRuehl" w:cs="FrankRuehl" w:hint="cs"/>
        <w:color w:val="000000"/>
        <w:sz w:val="28"/>
        <w:szCs w:val="28"/>
        <w:rtl/>
      </w:rPr>
      <w:t>1729</w:t>
    </w:r>
    <w:r>
      <w:rPr>
        <w:rFonts w:hAnsi="FrankRuehl" w:cs="FrankRuehl" w:hint="cs"/>
        <w:color w:val="000000"/>
        <w:sz w:val="28"/>
        <w:szCs w:val="28"/>
        <w:rtl/>
      </w:rPr>
      <w:t xml:space="preserve">), </w:t>
    </w:r>
    <w:r w:rsidR="00B128CD">
      <w:rPr>
        <w:rFonts w:hAnsi="FrankRuehl" w:cs="FrankRuehl" w:hint="cs"/>
        <w:color w:val="000000"/>
        <w:sz w:val="28"/>
        <w:szCs w:val="28"/>
        <w:rtl/>
      </w:rPr>
      <w:t>תשע"ד-2013</w:t>
    </w:r>
  </w:p>
  <w:p w:rsidR="00547F36" w:rsidRDefault="00547F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7F36" w:rsidRDefault="00547F3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8111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4A47"/>
    <w:rsid w:val="0007774D"/>
    <w:rsid w:val="00081C29"/>
    <w:rsid w:val="00091F9C"/>
    <w:rsid w:val="00092110"/>
    <w:rsid w:val="000C0493"/>
    <w:rsid w:val="002B51F1"/>
    <w:rsid w:val="002E2A16"/>
    <w:rsid w:val="002F0737"/>
    <w:rsid w:val="0034066E"/>
    <w:rsid w:val="00390B18"/>
    <w:rsid w:val="003C15F9"/>
    <w:rsid w:val="003F30B4"/>
    <w:rsid w:val="00441B48"/>
    <w:rsid w:val="00470099"/>
    <w:rsid w:val="00480822"/>
    <w:rsid w:val="004A0302"/>
    <w:rsid w:val="004A35AC"/>
    <w:rsid w:val="004A4702"/>
    <w:rsid w:val="00547F36"/>
    <w:rsid w:val="005A0342"/>
    <w:rsid w:val="005F2390"/>
    <w:rsid w:val="006070C4"/>
    <w:rsid w:val="006263D5"/>
    <w:rsid w:val="00627E4F"/>
    <w:rsid w:val="006900F1"/>
    <w:rsid w:val="00710456"/>
    <w:rsid w:val="0072550B"/>
    <w:rsid w:val="0074224F"/>
    <w:rsid w:val="0074613B"/>
    <w:rsid w:val="007B2DB9"/>
    <w:rsid w:val="0085799A"/>
    <w:rsid w:val="0088418D"/>
    <w:rsid w:val="008C141B"/>
    <w:rsid w:val="008C47EC"/>
    <w:rsid w:val="008D72D2"/>
    <w:rsid w:val="0092221E"/>
    <w:rsid w:val="00925734"/>
    <w:rsid w:val="0095525D"/>
    <w:rsid w:val="009844B8"/>
    <w:rsid w:val="00986AD2"/>
    <w:rsid w:val="00A04B92"/>
    <w:rsid w:val="00A123BF"/>
    <w:rsid w:val="00A37F39"/>
    <w:rsid w:val="00A42A15"/>
    <w:rsid w:val="00A61D5B"/>
    <w:rsid w:val="00AB03CD"/>
    <w:rsid w:val="00AC41E7"/>
    <w:rsid w:val="00B128CD"/>
    <w:rsid w:val="00B74D99"/>
    <w:rsid w:val="00BA2B32"/>
    <w:rsid w:val="00BD0195"/>
    <w:rsid w:val="00C01702"/>
    <w:rsid w:val="00CD0CFB"/>
    <w:rsid w:val="00CD4765"/>
    <w:rsid w:val="00CE6AE6"/>
    <w:rsid w:val="00D2058C"/>
    <w:rsid w:val="00D3451D"/>
    <w:rsid w:val="00D41EC9"/>
    <w:rsid w:val="00D73815"/>
    <w:rsid w:val="00D74A47"/>
    <w:rsid w:val="00D979E9"/>
    <w:rsid w:val="00DB22F6"/>
    <w:rsid w:val="00E0050A"/>
    <w:rsid w:val="00E74019"/>
    <w:rsid w:val="00ED22F3"/>
    <w:rsid w:val="00EE0B8F"/>
    <w:rsid w:val="00F10D53"/>
    <w:rsid w:val="00F37E5F"/>
    <w:rsid w:val="00FA40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998841D-3D9A-42E4-BB8B-C849E6B1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link w:val="a8"/>
    <w:pPr>
      <w:spacing w:line="160" w:lineRule="exact"/>
    </w:pPr>
    <w:rPr>
      <w:rFonts w:cs="Miriam"/>
      <w:sz w:val="18"/>
      <w:szCs w:val="18"/>
    </w:rPr>
  </w:style>
  <w:style w:type="character" w:styleId="FollowedHyperlink">
    <w:name w:val="FollowedHyperlink"/>
    <w:rPr>
      <w:color w:val="800080"/>
      <w:u w:val="single"/>
    </w:rPr>
  </w:style>
  <w:style w:type="table" w:styleId="a9">
    <w:name w:val="Table Grid"/>
    <w:basedOn w:val="a1"/>
    <w:rsid w:val="003C15F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uiPriority w:val="99"/>
    <w:semiHidden/>
    <w:unhideWhenUsed/>
    <w:rsid w:val="009844B8"/>
    <w:rPr>
      <w:color w:val="605E5C"/>
      <w:shd w:val="clear" w:color="auto" w:fill="E1DFDD"/>
    </w:rPr>
  </w:style>
  <w:style w:type="character" w:customStyle="1" w:styleId="a8">
    <w:name w:val="גוף טקסט תו"/>
    <w:link w:val="a7"/>
    <w:rsid w:val="009844B8"/>
    <w:rPr>
      <w:rFonts w:cs="Miriam"/>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70/zava-0246.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70/zava-0246.pdf" TargetMode="External"/><Relationship Id="rId1" Type="http://schemas.openxmlformats.org/officeDocument/2006/relationships/hyperlink" Target="http://www.nevo.co.il/Law_word/law70/zava-02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3632</Words>
  <Characters>20709</Characters>
  <Application>Microsoft Office Word</Application>
  <DocSecurity>4</DocSecurity>
  <Lines>172</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24293</CharactersWithSpaces>
  <SharedDoc>false</SharedDoc>
  <HLinks>
    <vt:vector size="306" baseType="variant">
      <vt:variant>
        <vt:i4>393283</vt:i4>
      </vt:variant>
      <vt:variant>
        <vt:i4>285</vt:i4>
      </vt:variant>
      <vt:variant>
        <vt:i4>0</vt:i4>
      </vt:variant>
      <vt:variant>
        <vt:i4>5</vt:i4>
      </vt:variant>
      <vt:variant>
        <vt:lpwstr>http://www.nevo.co.il/advertisements/nevo-100.doc</vt:lpwstr>
      </vt:variant>
      <vt:variant>
        <vt:lpwstr/>
      </vt:variant>
      <vt:variant>
        <vt:i4>1638525</vt:i4>
      </vt:variant>
      <vt:variant>
        <vt:i4>282</vt:i4>
      </vt:variant>
      <vt:variant>
        <vt:i4>0</vt:i4>
      </vt:variant>
      <vt:variant>
        <vt:i4>5</vt:i4>
      </vt:variant>
      <vt:variant>
        <vt:lpwstr>http://www.nevo.co.il/Law_word/law70/zava-0246.pdf</vt:lpwstr>
      </vt:variant>
      <vt:variant>
        <vt:lpwstr/>
      </vt:variant>
      <vt:variant>
        <vt:i4>3473448</vt:i4>
      </vt:variant>
      <vt:variant>
        <vt:i4>276</vt:i4>
      </vt:variant>
      <vt:variant>
        <vt:i4>0</vt:i4>
      </vt:variant>
      <vt:variant>
        <vt:i4>5</vt:i4>
      </vt:variant>
      <vt:variant>
        <vt:lpwstr/>
      </vt:variant>
      <vt:variant>
        <vt:lpwstr>Seif26</vt:lpwstr>
      </vt:variant>
      <vt:variant>
        <vt:i4>3538984</vt:i4>
      </vt:variant>
      <vt:variant>
        <vt:i4>270</vt:i4>
      </vt:variant>
      <vt:variant>
        <vt:i4>0</vt:i4>
      </vt:variant>
      <vt:variant>
        <vt:i4>5</vt:i4>
      </vt:variant>
      <vt:variant>
        <vt:lpwstr/>
      </vt:variant>
      <vt:variant>
        <vt:lpwstr>Seif25</vt:lpwstr>
      </vt:variant>
      <vt:variant>
        <vt:i4>3211310</vt:i4>
      </vt:variant>
      <vt:variant>
        <vt:i4>264</vt:i4>
      </vt:variant>
      <vt:variant>
        <vt:i4>0</vt:i4>
      </vt:variant>
      <vt:variant>
        <vt:i4>5</vt:i4>
      </vt:variant>
      <vt:variant>
        <vt:lpwstr/>
      </vt:variant>
      <vt:variant>
        <vt:lpwstr>Seif42</vt:lpwstr>
      </vt:variant>
      <vt:variant>
        <vt:i4>3407913</vt:i4>
      </vt:variant>
      <vt:variant>
        <vt:i4>258</vt:i4>
      </vt:variant>
      <vt:variant>
        <vt:i4>0</vt:i4>
      </vt:variant>
      <vt:variant>
        <vt:i4>5</vt:i4>
      </vt:variant>
      <vt:variant>
        <vt:lpwstr/>
      </vt:variant>
      <vt:variant>
        <vt:lpwstr>Seif37</vt:lpwstr>
      </vt:variant>
      <vt:variant>
        <vt:i4>3604520</vt:i4>
      </vt:variant>
      <vt:variant>
        <vt:i4>252</vt:i4>
      </vt:variant>
      <vt:variant>
        <vt:i4>0</vt:i4>
      </vt:variant>
      <vt:variant>
        <vt:i4>5</vt:i4>
      </vt:variant>
      <vt:variant>
        <vt:lpwstr/>
      </vt:variant>
      <vt:variant>
        <vt:lpwstr>Seif24</vt:lpwstr>
      </vt:variant>
      <vt:variant>
        <vt:i4>3145768</vt:i4>
      </vt:variant>
      <vt:variant>
        <vt:i4>246</vt:i4>
      </vt:variant>
      <vt:variant>
        <vt:i4>0</vt:i4>
      </vt:variant>
      <vt:variant>
        <vt:i4>5</vt:i4>
      </vt:variant>
      <vt:variant>
        <vt:lpwstr/>
      </vt:variant>
      <vt:variant>
        <vt:lpwstr>Seif23</vt:lpwstr>
      </vt:variant>
      <vt:variant>
        <vt:i4>5308425</vt:i4>
      </vt:variant>
      <vt:variant>
        <vt:i4>240</vt:i4>
      </vt:variant>
      <vt:variant>
        <vt:i4>0</vt:i4>
      </vt:variant>
      <vt:variant>
        <vt:i4>5</vt:i4>
      </vt:variant>
      <vt:variant>
        <vt:lpwstr/>
      </vt:variant>
      <vt:variant>
        <vt:lpwstr>med4</vt:lpwstr>
      </vt:variant>
      <vt:variant>
        <vt:i4>3473449</vt:i4>
      </vt:variant>
      <vt:variant>
        <vt:i4>234</vt:i4>
      </vt:variant>
      <vt:variant>
        <vt:i4>0</vt:i4>
      </vt:variant>
      <vt:variant>
        <vt:i4>5</vt:i4>
      </vt:variant>
      <vt:variant>
        <vt:lpwstr/>
      </vt:variant>
      <vt:variant>
        <vt:lpwstr>Seif36</vt:lpwstr>
      </vt:variant>
      <vt:variant>
        <vt:i4>3211304</vt:i4>
      </vt:variant>
      <vt:variant>
        <vt:i4>228</vt:i4>
      </vt:variant>
      <vt:variant>
        <vt:i4>0</vt:i4>
      </vt:variant>
      <vt:variant>
        <vt:i4>5</vt:i4>
      </vt:variant>
      <vt:variant>
        <vt:lpwstr/>
      </vt:variant>
      <vt:variant>
        <vt:lpwstr>Seif22</vt:lpwstr>
      </vt:variant>
      <vt:variant>
        <vt:i4>3276840</vt:i4>
      </vt:variant>
      <vt:variant>
        <vt:i4>222</vt:i4>
      </vt:variant>
      <vt:variant>
        <vt:i4>0</vt:i4>
      </vt:variant>
      <vt:variant>
        <vt:i4>5</vt:i4>
      </vt:variant>
      <vt:variant>
        <vt:lpwstr/>
      </vt:variant>
      <vt:variant>
        <vt:lpwstr>Seif21</vt:lpwstr>
      </vt:variant>
      <vt:variant>
        <vt:i4>3342376</vt:i4>
      </vt:variant>
      <vt:variant>
        <vt:i4>216</vt:i4>
      </vt:variant>
      <vt:variant>
        <vt:i4>0</vt:i4>
      </vt:variant>
      <vt:variant>
        <vt:i4>5</vt:i4>
      </vt:variant>
      <vt:variant>
        <vt:lpwstr/>
      </vt:variant>
      <vt:variant>
        <vt:lpwstr>Seif20</vt:lpwstr>
      </vt:variant>
      <vt:variant>
        <vt:i4>3801131</vt:i4>
      </vt:variant>
      <vt:variant>
        <vt:i4>210</vt:i4>
      </vt:variant>
      <vt:variant>
        <vt:i4>0</vt:i4>
      </vt:variant>
      <vt:variant>
        <vt:i4>5</vt:i4>
      </vt:variant>
      <vt:variant>
        <vt:lpwstr/>
      </vt:variant>
      <vt:variant>
        <vt:lpwstr>Seif19</vt:lpwstr>
      </vt:variant>
      <vt:variant>
        <vt:i4>3866667</vt:i4>
      </vt:variant>
      <vt:variant>
        <vt:i4>204</vt:i4>
      </vt:variant>
      <vt:variant>
        <vt:i4>0</vt:i4>
      </vt:variant>
      <vt:variant>
        <vt:i4>5</vt:i4>
      </vt:variant>
      <vt:variant>
        <vt:lpwstr/>
      </vt:variant>
      <vt:variant>
        <vt:lpwstr>Seif18</vt:lpwstr>
      </vt:variant>
      <vt:variant>
        <vt:i4>3407915</vt:i4>
      </vt:variant>
      <vt:variant>
        <vt:i4>198</vt:i4>
      </vt:variant>
      <vt:variant>
        <vt:i4>0</vt:i4>
      </vt:variant>
      <vt:variant>
        <vt:i4>5</vt:i4>
      </vt:variant>
      <vt:variant>
        <vt:lpwstr/>
      </vt:variant>
      <vt:variant>
        <vt:lpwstr>Seif17</vt:lpwstr>
      </vt:variant>
      <vt:variant>
        <vt:i4>3538985</vt:i4>
      </vt:variant>
      <vt:variant>
        <vt:i4>192</vt:i4>
      </vt:variant>
      <vt:variant>
        <vt:i4>0</vt:i4>
      </vt:variant>
      <vt:variant>
        <vt:i4>5</vt:i4>
      </vt:variant>
      <vt:variant>
        <vt:lpwstr/>
      </vt:variant>
      <vt:variant>
        <vt:lpwstr>Seif35</vt:lpwstr>
      </vt:variant>
      <vt:variant>
        <vt:i4>3604521</vt:i4>
      </vt:variant>
      <vt:variant>
        <vt:i4>186</vt:i4>
      </vt:variant>
      <vt:variant>
        <vt:i4>0</vt:i4>
      </vt:variant>
      <vt:variant>
        <vt:i4>5</vt:i4>
      </vt:variant>
      <vt:variant>
        <vt:lpwstr/>
      </vt:variant>
      <vt:variant>
        <vt:lpwstr>Seif34</vt:lpwstr>
      </vt:variant>
      <vt:variant>
        <vt:i4>3473451</vt:i4>
      </vt:variant>
      <vt:variant>
        <vt:i4>180</vt:i4>
      </vt:variant>
      <vt:variant>
        <vt:i4>0</vt:i4>
      </vt:variant>
      <vt:variant>
        <vt:i4>5</vt:i4>
      </vt:variant>
      <vt:variant>
        <vt:lpwstr/>
      </vt:variant>
      <vt:variant>
        <vt:lpwstr>Seif16</vt:lpwstr>
      </vt:variant>
      <vt:variant>
        <vt:i4>3145769</vt:i4>
      </vt:variant>
      <vt:variant>
        <vt:i4>174</vt:i4>
      </vt:variant>
      <vt:variant>
        <vt:i4>0</vt:i4>
      </vt:variant>
      <vt:variant>
        <vt:i4>5</vt:i4>
      </vt:variant>
      <vt:variant>
        <vt:lpwstr/>
      </vt:variant>
      <vt:variant>
        <vt:lpwstr>Seif33</vt:lpwstr>
      </vt:variant>
      <vt:variant>
        <vt:i4>3538987</vt:i4>
      </vt:variant>
      <vt:variant>
        <vt:i4>168</vt:i4>
      </vt:variant>
      <vt:variant>
        <vt:i4>0</vt:i4>
      </vt:variant>
      <vt:variant>
        <vt:i4>5</vt:i4>
      </vt:variant>
      <vt:variant>
        <vt:lpwstr/>
      </vt:variant>
      <vt:variant>
        <vt:lpwstr>Seif15</vt:lpwstr>
      </vt:variant>
      <vt:variant>
        <vt:i4>3604523</vt:i4>
      </vt:variant>
      <vt:variant>
        <vt:i4>162</vt:i4>
      </vt:variant>
      <vt:variant>
        <vt:i4>0</vt:i4>
      </vt:variant>
      <vt:variant>
        <vt:i4>5</vt:i4>
      </vt:variant>
      <vt:variant>
        <vt:lpwstr/>
      </vt:variant>
      <vt:variant>
        <vt:lpwstr>Seif14</vt:lpwstr>
      </vt:variant>
      <vt:variant>
        <vt:i4>5636105</vt:i4>
      </vt:variant>
      <vt:variant>
        <vt:i4>156</vt:i4>
      </vt:variant>
      <vt:variant>
        <vt:i4>0</vt:i4>
      </vt:variant>
      <vt:variant>
        <vt:i4>5</vt:i4>
      </vt:variant>
      <vt:variant>
        <vt:lpwstr/>
      </vt:variant>
      <vt:variant>
        <vt:lpwstr>med3</vt:lpwstr>
      </vt:variant>
      <vt:variant>
        <vt:i4>3407912</vt:i4>
      </vt:variant>
      <vt:variant>
        <vt:i4>150</vt:i4>
      </vt:variant>
      <vt:variant>
        <vt:i4>0</vt:i4>
      </vt:variant>
      <vt:variant>
        <vt:i4>5</vt:i4>
      </vt:variant>
      <vt:variant>
        <vt:lpwstr/>
      </vt:variant>
      <vt:variant>
        <vt:lpwstr>Seif27</vt:lpwstr>
      </vt:variant>
      <vt:variant>
        <vt:i4>3145771</vt:i4>
      </vt:variant>
      <vt:variant>
        <vt:i4>144</vt:i4>
      </vt:variant>
      <vt:variant>
        <vt:i4>0</vt:i4>
      </vt:variant>
      <vt:variant>
        <vt:i4>5</vt:i4>
      </vt:variant>
      <vt:variant>
        <vt:lpwstr/>
      </vt:variant>
      <vt:variant>
        <vt:lpwstr>Seif13</vt:lpwstr>
      </vt:variant>
      <vt:variant>
        <vt:i4>3211307</vt:i4>
      </vt:variant>
      <vt:variant>
        <vt:i4>138</vt:i4>
      </vt:variant>
      <vt:variant>
        <vt:i4>0</vt:i4>
      </vt:variant>
      <vt:variant>
        <vt:i4>5</vt:i4>
      </vt:variant>
      <vt:variant>
        <vt:lpwstr/>
      </vt:variant>
      <vt:variant>
        <vt:lpwstr>Seif12</vt:lpwstr>
      </vt:variant>
      <vt:variant>
        <vt:i4>3276843</vt:i4>
      </vt:variant>
      <vt:variant>
        <vt:i4>132</vt:i4>
      </vt:variant>
      <vt:variant>
        <vt:i4>0</vt:i4>
      </vt:variant>
      <vt:variant>
        <vt:i4>5</vt:i4>
      </vt:variant>
      <vt:variant>
        <vt:lpwstr/>
      </vt:variant>
      <vt:variant>
        <vt:lpwstr>Seif11</vt:lpwstr>
      </vt:variant>
      <vt:variant>
        <vt:i4>3342379</vt:i4>
      </vt:variant>
      <vt:variant>
        <vt:i4>126</vt:i4>
      </vt:variant>
      <vt:variant>
        <vt:i4>0</vt:i4>
      </vt:variant>
      <vt:variant>
        <vt:i4>5</vt:i4>
      </vt:variant>
      <vt:variant>
        <vt:lpwstr/>
      </vt:variant>
      <vt:variant>
        <vt:lpwstr>Seif10</vt:lpwstr>
      </vt:variant>
      <vt:variant>
        <vt:i4>5701641</vt:i4>
      </vt:variant>
      <vt:variant>
        <vt:i4>120</vt:i4>
      </vt:variant>
      <vt:variant>
        <vt:i4>0</vt:i4>
      </vt:variant>
      <vt:variant>
        <vt:i4>5</vt:i4>
      </vt:variant>
      <vt:variant>
        <vt:lpwstr/>
      </vt:variant>
      <vt:variant>
        <vt:lpwstr>med2</vt:lpwstr>
      </vt:variant>
      <vt:variant>
        <vt:i4>3276846</vt:i4>
      </vt:variant>
      <vt:variant>
        <vt:i4>114</vt:i4>
      </vt:variant>
      <vt:variant>
        <vt:i4>0</vt:i4>
      </vt:variant>
      <vt:variant>
        <vt:i4>5</vt:i4>
      </vt:variant>
      <vt:variant>
        <vt:lpwstr/>
      </vt:variant>
      <vt:variant>
        <vt:lpwstr>Seif41</vt:lpwstr>
      </vt:variant>
      <vt:variant>
        <vt:i4>3342382</vt:i4>
      </vt:variant>
      <vt:variant>
        <vt:i4>108</vt:i4>
      </vt:variant>
      <vt:variant>
        <vt:i4>0</vt:i4>
      </vt:variant>
      <vt:variant>
        <vt:i4>5</vt:i4>
      </vt:variant>
      <vt:variant>
        <vt:lpwstr/>
      </vt:variant>
      <vt:variant>
        <vt:lpwstr>Seif40</vt:lpwstr>
      </vt:variant>
      <vt:variant>
        <vt:i4>3211305</vt:i4>
      </vt:variant>
      <vt:variant>
        <vt:i4>102</vt:i4>
      </vt:variant>
      <vt:variant>
        <vt:i4>0</vt:i4>
      </vt:variant>
      <vt:variant>
        <vt:i4>5</vt:i4>
      </vt:variant>
      <vt:variant>
        <vt:lpwstr/>
      </vt:variant>
      <vt:variant>
        <vt:lpwstr>Seif32</vt:lpwstr>
      </vt:variant>
      <vt:variant>
        <vt:i4>3276841</vt:i4>
      </vt:variant>
      <vt:variant>
        <vt:i4>96</vt:i4>
      </vt:variant>
      <vt:variant>
        <vt:i4>0</vt:i4>
      </vt:variant>
      <vt:variant>
        <vt:i4>5</vt:i4>
      </vt:variant>
      <vt:variant>
        <vt:lpwstr/>
      </vt:variant>
      <vt:variant>
        <vt:lpwstr>Seif31</vt:lpwstr>
      </vt:variant>
      <vt:variant>
        <vt:i4>3866664</vt:i4>
      </vt:variant>
      <vt:variant>
        <vt:i4>90</vt:i4>
      </vt:variant>
      <vt:variant>
        <vt:i4>0</vt:i4>
      </vt:variant>
      <vt:variant>
        <vt:i4>5</vt:i4>
      </vt:variant>
      <vt:variant>
        <vt:lpwstr/>
      </vt:variant>
      <vt:variant>
        <vt:lpwstr>Seif28</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5505033</vt:i4>
      </vt:variant>
      <vt:variant>
        <vt:i4>72</vt:i4>
      </vt:variant>
      <vt:variant>
        <vt:i4>0</vt:i4>
      </vt:variant>
      <vt:variant>
        <vt:i4>5</vt:i4>
      </vt:variant>
      <vt:variant>
        <vt:lpwstr/>
      </vt:variant>
      <vt:variant>
        <vt:lpwstr>med1</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3342377</vt:i4>
      </vt:variant>
      <vt:variant>
        <vt:i4>42</vt:i4>
      </vt:variant>
      <vt:variant>
        <vt:i4>0</vt:i4>
      </vt:variant>
      <vt:variant>
        <vt:i4>5</vt:i4>
      </vt:variant>
      <vt:variant>
        <vt:lpwstr/>
      </vt:variant>
      <vt:variant>
        <vt:lpwstr>Seif30</vt:lpwstr>
      </vt:variant>
      <vt:variant>
        <vt:i4>3801128</vt:i4>
      </vt:variant>
      <vt:variant>
        <vt:i4>36</vt:i4>
      </vt:variant>
      <vt:variant>
        <vt:i4>0</vt:i4>
      </vt:variant>
      <vt:variant>
        <vt:i4>5</vt:i4>
      </vt:variant>
      <vt:variant>
        <vt:lpwstr/>
      </vt:variant>
      <vt:variant>
        <vt:lpwstr>Seif29</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3801129</vt:i4>
      </vt:variant>
      <vt:variant>
        <vt:i4>18</vt:i4>
      </vt:variant>
      <vt:variant>
        <vt:i4>0</vt:i4>
      </vt:variant>
      <vt:variant>
        <vt:i4>5</vt:i4>
      </vt:variant>
      <vt:variant>
        <vt:lpwstr/>
      </vt:variant>
      <vt:variant>
        <vt:lpwstr>Seif39</vt:lpwstr>
      </vt:variant>
      <vt:variant>
        <vt:i4>3866665</vt:i4>
      </vt:variant>
      <vt:variant>
        <vt:i4>12</vt:i4>
      </vt:variant>
      <vt:variant>
        <vt:i4>0</vt:i4>
      </vt:variant>
      <vt:variant>
        <vt:i4>5</vt:i4>
      </vt:variant>
      <vt:variant>
        <vt:lpwstr/>
      </vt:variant>
      <vt:variant>
        <vt:lpwstr>Seif38</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1638525</vt:i4>
      </vt:variant>
      <vt:variant>
        <vt:i4>3</vt:i4>
      </vt:variant>
      <vt:variant>
        <vt:i4>0</vt:i4>
      </vt:variant>
      <vt:variant>
        <vt:i4>5</vt:i4>
      </vt:variant>
      <vt:variant>
        <vt:lpwstr>http://www.nevo.co.il/Law_word/law70/zava-0246.pdf</vt:lpwstr>
      </vt:variant>
      <vt:variant>
        <vt:lpwstr/>
      </vt:variant>
      <vt:variant>
        <vt:i4>1966205</vt:i4>
      </vt:variant>
      <vt:variant>
        <vt:i4>0</vt:i4>
      </vt:variant>
      <vt:variant>
        <vt:i4>0</vt:i4>
      </vt:variant>
      <vt:variant>
        <vt:i4>5</vt:i4>
      </vt:variant>
      <vt:variant>
        <vt:lpwstr>http://www.nevo.co.il/Law_word/law70/zava-0241.pdf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פרשנות [נוסח משולב] (יהודה והשומרון) (מס' 1729), תשע"ד-2013</vt:lpwstr>
  </property>
  <property fmtid="{D5CDD505-2E9C-101B-9397-08002B2CF9AE}" pid="4" name="LAWNUMBER">
    <vt:lpwstr>0067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https://www.nevo.co.il/law_html/law70/zava-246.pdf;‎רשומות - תקנות קמצ"מ#תוקן קובץ ‏המנשרים מס' 246 #מחודש מאי 2018 עמ' 8294 – תיקון מס' 1 (מס' 1793) תשע"ח-2017; תחילתו ביום ‏‏31.12.2017‏</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http://www.nevo.co.il/Law_word/law70/zava-0241.pdf;‎רשומות – קמצ"מ#פורסם קובץ המנשרים ‏מס' 241 #מחודש יולי 2014 עמ' 7035‏</vt:lpwstr>
  </property>
</Properties>
</file>