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B95" w:rsidRDefault="009F4B95">
      <w:pPr>
        <w:pStyle w:val="big-header"/>
        <w:ind w:left="0" w:right="1134"/>
        <w:rPr>
          <w:rFonts w:cs="FrankRuehl" w:hint="cs"/>
          <w:sz w:val="32"/>
          <w:rtl/>
        </w:rPr>
      </w:pPr>
      <w:r>
        <w:rPr>
          <w:rFonts w:cs="FrankRuehl" w:hint="cs"/>
          <w:sz w:val="32"/>
          <w:rtl/>
        </w:rPr>
        <w:t>יהודה והשומרון</w:t>
      </w:r>
    </w:p>
    <w:p w:rsidR="009F4B95" w:rsidRDefault="009F4B95">
      <w:pPr>
        <w:pStyle w:val="big-header"/>
        <w:ind w:left="0" w:right="1134"/>
        <w:rPr>
          <w:rFonts w:cs="FrankRuehl" w:hint="cs"/>
          <w:sz w:val="32"/>
          <w:rtl/>
        </w:rPr>
      </w:pPr>
      <w:r>
        <w:rPr>
          <w:rFonts w:cs="FrankRuehl" w:hint="cs"/>
          <w:sz w:val="32"/>
          <w:rtl/>
        </w:rPr>
        <w:t>צו בדבר שיפוט בבתי משפט לעניינים מקומיים (הוראת שעה) (יהודה והשומרון) (מס' 1564), תשס"ה-2005</w:t>
      </w:r>
    </w:p>
    <w:p w:rsidR="009F4B95" w:rsidRDefault="009F4B9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C5500" w:rsidRPr="00FC5500">
        <w:tblPrEx>
          <w:tblCellMar>
            <w:top w:w="0" w:type="dxa"/>
            <w:bottom w:w="0" w:type="dxa"/>
          </w:tblCellMar>
        </w:tblPrEx>
        <w:tc>
          <w:tcPr>
            <w:tcW w:w="1247" w:type="dxa"/>
          </w:tcPr>
          <w:p w:rsidR="00FC5500" w:rsidRPr="00FC5500" w:rsidRDefault="00FC5500" w:rsidP="00FC5500">
            <w:pPr>
              <w:rPr>
                <w:rFonts w:cs="Frankruhel" w:hint="cs"/>
                <w:rtl/>
              </w:rPr>
            </w:pPr>
            <w:r>
              <w:rPr>
                <w:rtl/>
              </w:rPr>
              <w:t xml:space="preserve">סעיף 1 </w:t>
            </w:r>
          </w:p>
        </w:tc>
        <w:tc>
          <w:tcPr>
            <w:tcW w:w="5669" w:type="dxa"/>
          </w:tcPr>
          <w:p w:rsidR="00FC5500" w:rsidRPr="00FC5500" w:rsidRDefault="00FC5500" w:rsidP="00FC5500">
            <w:pPr>
              <w:rPr>
                <w:rFonts w:cs="Frankruhel" w:hint="cs"/>
                <w:rtl/>
              </w:rPr>
            </w:pPr>
            <w:r>
              <w:rPr>
                <w:rtl/>
              </w:rPr>
              <w:t>הגדרות</w:t>
            </w:r>
          </w:p>
        </w:tc>
        <w:tc>
          <w:tcPr>
            <w:tcW w:w="567" w:type="dxa"/>
          </w:tcPr>
          <w:p w:rsidR="00FC5500" w:rsidRPr="00FC5500" w:rsidRDefault="00FC5500" w:rsidP="00FC5500">
            <w:pPr>
              <w:rPr>
                <w:rStyle w:val="Hyperlink"/>
                <w:rFonts w:hint="cs"/>
                <w:rtl/>
              </w:rPr>
            </w:pPr>
            <w:hyperlink w:anchor="Seif1" w:tooltip="הגדרות" w:history="1">
              <w:r w:rsidRPr="00FC5500">
                <w:rPr>
                  <w:rStyle w:val="Hyperlink"/>
                </w:rPr>
                <w:t>Go</w:t>
              </w:r>
            </w:hyperlink>
          </w:p>
        </w:tc>
        <w:tc>
          <w:tcPr>
            <w:tcW w:w="850" w:type="dxa"/>
          </w:tcPr>
          <w:p w:rsidR="00FC5500" w:rsidRPr="00FC5500" w:rsidRDefault="00FC5500" w:rsidP="00FC55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C5500" w:rsidRPr="00FC5500">
        <w:tblPrEx>
          <w:tblCellMar>
            <w:top w:w="0" w:type="dxa"/>
            <w:bottom w:w="0" w:type="dxa"/>
          </w:tblCellMar>
        </w:tblPrEx>
        <w:tc>
          <w:tcPr>
            <w:tcW w:w="1247" w:type="dxa"/>
          </w:tcPr>
          <w:p w:rsidR="00FC5500" w:rsidRPr="00FC5500" w:rsidRDefault="00FC5500" w:rsidP="00FC5500">
            <w:pPr>
              <w:rPr>
                <w:rFonts w:cs="Frankruhel" w:hint="cs"/>
                <w:rtl/>
              </w:rPr>
            </w:pPr>
            <w:r>
              <w:rPr>
                <w:rtl/>
              </w:rPr>
              <w:t xml:space="preserve">סעיף 2 </w:t>
            </w:r>
          </w:p>
        </w:tc>
        <w:tc>
          <w:tcPr>
            <w:tcW w:w="5669" w:type="dxa"/>
          </w:tcPr>
          <w:p w:rsidR="00FC5500" w:rsidRPr="00FC5500" w:rsidRDefault="00FC5500" w:rsidP="00FC5500">
            <w:pPr>
              <w:rPr>
                <w:rFonts w:cs="Frankruhel" w:hint="cs"/>
                <w:rtl/>
              </w:rPr>
            </w:pPr>
            <w:r>
              <w:rPr>
                <w:rtl/>
              </w:rPr>
              <w:t>הסמכת בתי משפט לעניינים מקומיים</w:t>
            </w:r>
          </w:p>
        </w:tc>
        <w:tc>
          <w:tcPr>
            <w:tcW w:w="567" w:type="dxa"/>
          </w:tcPr>
          <w:p w:rsidR="00FC5500" w:rsidRPr="00FC5500" w:rsidRDefault="00FC5500" w:rsidP="00FC5500">
            <w:pPr>
              <w:rPr>
                <w:rStyle w:val="Hyperlink"/>
                <w:rFonts w:hint="cs"/>
                <w:rtl/>
              </w:rPr>
            </w:pPr>
            <w:hyperlink w:anchor="Seif2" w:tooltip="הסמכת בתי משפט לעניינים מקומיים" w:history="1">
              <w:r w:rsidRPr="00FC5500">
                <w:rPr>
                  <w:rStyle w:val="Hyperlink"/>
                </w:rPr>
                <w:t>Go</w:t>
              </w:r>
            </w:hyperlink>
          </w:p>
        </w:tc>
        <w:tc>
          <w:tcPr>
            <w:tcW w:w="850" w:type="dxa"/>
          </w:tcPr>
          <w:p w:rsidR="00FC5500" w:rsidRPr="00FC5500" w:rsidRDefault="00FC5500" w:rsidP="00FC55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C5500" w:rsidRPr="00FC5500">
        <w:tblPrEx>
          <w:tblCellMar>
            <w:top w:w="0" w:type="dxa"/>
            <w:bottom w:w="0" w:type="dxa"/>
          </w:tblCellMar>
        </w:tblPrEx>
        <w:tc>
          <w:tcPr>
            <w:tcW w:w="1247" w:type="dxa"/>
          </w:tcPr>
          <w:p w:rsidR="00FC5500" w:rsidRPr="00FC5500" w:rsidRDefault="00FC5500" w:rsidP="00FC5500">
            <w:pPr>
              <w:rPr>
                <w:rFonts w:cs="Frankruhel" w:hint="cs"/>
                <w:rtl/>
              </w:rPr>
            </w:pPr>
            <w:r>
              <w:rPr>
                <w:rtl/>
              </w:rPr>
              <w:t xml:space="preserve">סעיף 3 </w:t>
            </w:r>
          </w:p>
        </w:tc>
        <w:tc>
          <w:tcPr>
            <w:tcW w:w="5669" w:type="dxa"/>
          </w:tcPr>
          <w:p w:rsidR="00FC5500" w:rsidRPr="00FC5500" w:rsidRDefault="00FC5500" w:rsidP="00FC5500">
            <w:pPr>
              <w:rPr>
                <w:rFonts w:cs="Frankruhel" w:hint="cs"/>
                <w:rtl/>
              </w:rPr>
            </w:pPr>
            <w:r>
              <w:rPr>
                <w:rtl/>
              </w:rPr>
              <w:t>תחום שיפוט</w:t>
            </w:r>
          </w:p>
        </w:tc>
        <w:tc>
          <w:tcPr>
            <w:tcW w:w="567" w:type="dxa"/>
          </w:tcPr>
          <w:p w:rsidR="00FC5500" w:rsidRPr="00FC5500" w:rsidRDefault="00FC5500" w:rsidP="00FC5500">
            <w:pPr>
              <w:rPr>
                <w:rStyle w:val="Hyperlink"/>
                <w:rFonts w:hint="cs"/>
                <w:rtl/>
              </w:rPr>
            </w:pPr>
            <w:hyperlink w:anchor="Seif3" w:tooltip="תחום שיפוט" w:history="1">
              <w:r w:rsidRPr="00FC5500">
                <w:rPr>
                  <w:rStyle w:val="Hyperlink"/>
                </w:rPr>
                <w:t>Go</w:t>
              </w:r>
            </w:hyperlink>
          </w:p>
        </w:tc>
        <w:tc>
          <w:tcPr>
            <w:tcW w:w="850" w:type="dxa"/>
          </w:tcPr>
          <w:p w:rsidR="00FC5500" w:rsidRPr="00FC5500" w:rsidRDefault="00FC5500" w:rsidP="00FC55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C5500" w:rsidRPr="00FC5500">
        <w:tblPrEx>
          <w:tblCellMar>
            <w:top w:w="0" w:type="dxa"/>
            <w:bottom w:w="0" w:type="dxa"/>
          </w:tblCellMar>
        </w:tblPrEx>
        <w:tc>
          <w:tcPr>
            <w:tcW w:w="1247" w:type="dxa"/>
          </w:tcPr>
          <w:p w:rsidR="00FC5500" w:rsidRPr="00FC5500" w:rsidRDefault="00FC5500" w:rsidP="00FC5500">
            <w:pPr>
              <w:rPr>
                <w:rFonts w:cs="Frankruhel" w:hint="cs"/>
                <w:rtl/>
              </w:rPr>
            </w:pPr>
            <w:r>
              <w:rPr>
                <w:rtl/>
              </w:rPr>
              <w:t xml:space="preserve">סעיף 4 </w:t>
            </w:r>
          </w:p>
        </w:tc>
        <w:tc>
          <w:tcPr>
            <w:tcW w:w="5669" w:type="dxa"/>
          </w:tcPr>
          <w:p w:rsidR="00FC5500" w:rsidRPr="00FC5500" w:rsidRDefault="00FC5500" w:rsidP="00FC5500">
            <w:pPr>
              <w:rPr>
                <w:rFonts w:cs="Frankruhel" w:hint="cs"/>
                <w:rtl/>
              </w:rPr>
            </w:pPr>
            <w:r>
              <w:rPr>
                <w:rtl/>
              </w:rPr>
              <w:t>המאשים</w:t>
            </w:r>
          </w:p>
        </w:tc>
        <w:tc>
          <w:tcPr>
            <w:tcW w:w="567" w:type="dxa"/>
          </w:tcPr>
          <w:p w:rsidR="00FC5500" w:rsidRPr="00FC5500" w:rsidRDefault="00FC5500" w:rsidP="00FC5500">
            <w:pPr>
              <w:rPr>
                <w:rStyle w:val="Hyperlink"/>
                <w:rFonts w:hint="cs"/>
                <w:rtl/>
              </w:rPr>
            </w:pPr>
            <w:hyperlink w:anchor="Seif4" w:tooltip="המאשים" w:history="1">
              <w:r w:rsidRPr="00FC5500">
                <w:rPr>
                  <w:rStyle w:val="Hyperlink"/>
                </w:rPr>
                <w:t>Go</w:t>
              </w:r>
            </w:hyperlink>
          </w:p>
        </w:tc>
        <w:tc>
          <w:tcPr>
            <w:tcW w:w="850" w:type="dxa"/>
          </w:tcPr>
          <w:p w:rsidR="00FC5500" w:rsidRPr="00FC5500" w:rsidRDefault="00FC5500" w:rsidP="00FC55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C5500" w:rsidRPr="00FC5500">
        <w:tblPrEx>
          <w:tblCellMar>
            <w:top w:w="0" w:type="dxa"/>
            <w:bottom w:w="0" w:type="dxa"/>
          </w:tblCellMar>
        </w:tblPrEx>
        <w:tc>
          <w:tcPr>
            <w:tcW w:w="1247" w:type="dxa"/>
          </w:tcPr>
          <w:p w:rsidR="00FC5500" w:rsidRPr="00FC5500" w:rsidRDefault="00FC5500" w:rsidP="00FC5500">
            <w:pPr>
              <w:rPr>
                <w:rFonts w:cs="Frankruhel" w:hint="cs"/>
                <w:rtl/>
              </w:rPr>
            </w:pPr>
            <w:r>
              <w:rPr>
                <w:rtl/>
              </w:rPr>
              <w:t xml:space="preserve">סעיף 5 </w:t>
            </w:r>
          </w:p>
        </w:tc>
        <w:tc>
          <w:tcPr>
            <w:tcW w:w="5669" w:type="dxa"/>
          </w:tcPr>
          <w:p w:rsidR="00FC5500" w:rsidRPr="00FC5500" w:rsidRDefault="00FC5500" w:rsidP="00FC5500">
            <w:pPr>
              <w:rPr>
                <w:rFonts w:cs="Frankruhel" w:hint="cs"/>
                <w:rtl/>
              </w:rPr>
            </w:pPr>
            <w:r>
              <w:rPr>
                <w:rtl/>
              </w:rPr>
              <w:t>תחולת הוראות</w:t>
            </w:r>
          </w:p>
        </w:tc>
        <w:tc>
          <w:tcPr>
            <w:tcW w:w="567" w:type="dxa"/>
          </w:tcPr>
          <w:p w:rsidR="00FC5500" w:rsidRPr="00FC5500" w:rsidRDefault="00FC5500" w:rsidP="00FC5500">
            <w:pPr>
              <w:rPr>
                <w:rStyle w:val="Hyperlink"/>
                <w:rFonts w:hint="cs"/>
                <w:rtl/>
              </w:rPr>
            </w:pPr>
            <w:hyperlink w:anchor="Seif5" w:tooltip="תחולת הוראות" w:history="1">
              <w:r w:rsidRPr="00FC5500">
                <w:rPr>
                  <w:rStyle w:val="Hyperlink"/>
                </w:rPr>
                <w:t>Go</w:t>
              </w:r>
            </w:hyperlink>
          </w:p>
        </w:tc>
        <w:tc>
          <w:tcPr>
            <w:tcW w:w="850" w:type="dxa"/>
          </w:tcPr>
          <w:p w:rsidR="00FC5500" w:rsidRPr="00FC5500" w:rsidRDefault="00FC5500" w:rsidP="00FC55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FC5500" w:rsidRPr="00FC5500">
        <w:tblPrEx>
          <w:tblCellMar>
            <w:top w:w="0" w:type="dxa"/>
            <w:bottom w:w="0" w:type="dxa"/>
          </w:tblCellMar>
        </w:tblPrEx>
        <w:tc>
          <w:tcPr>
            <w:tcW w:w="1247" w:type="dxa"/>
          </w:tcPr>
          <w:p w:rsidR="00FC5500" w:rsidRPr="00FC5500" w:rsidRDefault="00FC5500" w:rsidP="00FC5500">
            <w:pPr>
              <w:rPr>
                <w:rFonts w:cs="Frankruhel" w:hint="cs"/>
                <w:rtl/>
              </w:rPr>
            </w:pPr>
            <w:r>
              <w:rPr>
                <w:rtl/>
              </w:rPr>
              <w:t xml:space="preserve">סעיף 6 </w:t>
            </w:r>
          </w:p>
        </w:tc>
        <w:tc>
          <w:tcPr>
            <w:tcW w:w="5669" w:type="dxa"/>
          </w:tcPr>
          <w:p w:rsidR="00FC5500" w:rsidRPr="00FC5500" w:rsidRDefault="00FC5500" w:rsidP="00FC5500">
            <w:pPr>
              <w:rPr>
                <w:rFonts w:cs="Frankruhel" w:hint="cs"/>
                <w:rtl/>
              </w:rPr>
            </w:pPr>
            <w:r>
              <w:rPr>
                <w:rtl/>
              </w:rPr>
              <w:t>שמירת סמכויות</w:t>
            </w:r>
          </w:p>
        </w:tc>
        <w:tc>
          <w:tcPr>
            <w:tcW w:w="567" w:type="dxa"/>
          </w:tcPr>
          <w:p w:rsidR="00FC5500" w:rsidRPr="00FC5500" w:rsidRDefault="00FC5500" w:rsidP="00FC5500">
            <w:pPr>
              <w:rPr>
                <w:rStyle w:val="Hyperlink"/>
                <w:rFonts w:hint="cs"/>
                <w:rtl/>
              </w:rPr>
            </w:pPr>
            <w:hyperlink w:anchor="Seif6" w:tooltip="שמירת סמכויות" w:history="1">
              <w:r w:rsidRPr="00FC5500">
                <w:rPr>
                  <w:rStyle w:val="Hyperlink"/>
                </w:rPr>
                <w:t>Go</w:t>
              </w:r>
            </w:hyperlink>
          </w:p>
        </w:tc>
        <w:tc>
          <w:tcPr>
            <w:tcW w:w="850" w:type="dxa"/>
          </w:tcPr>
          <w:p w:rsidR="00FC5500" w:rsidRPr="00FC5500" w:rsidRDefault="00FC5500" w:rsidP="00FC55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FC5500" w:rsidRPr="00FC5500">
        <w:tblPrEx>
          <w:tblCellMar>
            <w:top w:w="0" w:type="dxa"/>
            <w:bottom w:w="0" w:type="dxa"/>
          </w:tblCellMar>
        </w:tblPrEx>
        <w:tc>
          <w:tcPr>
            <w:tcW w:w="1247" w:type="dxa"/>
          </w:tcPr>
          <w:p w:rsidR="00FC5500" w:rsidRPr="00FC5500" w:rsidRDefault="00FC5500" w:rsidP="00FC5500">
            <w:pPr>
              <w:rPr>
                <w:rFonts w:cs="Frankruhel" w:hint="cs"/>
                <w:rtl/>
              </w:rPr>
            </w:pPr>
            <w:r>
              <w:rPr>
                <w:rtl/>
              </w:rPr>
              <w:t xml:space="preserve">סעיף 7 </w:t>
            </w:r>
          </w:p>
        </w:tc>
        <w:tc>
          <w:tcPr>
            <w:tcW w:w="5669" w:type="dxa"/>
          </w:tcPr>
          <w:p w:rsidR="00FC5500" w:rsidRPr="00FC5500" w:rsidRDefault="00FC5500" w:rsidP="00FC5500">
            <w:pPr>
              <w:rPr>
                <w:rFonts w:cs="Frankruhel" w:hint="cs"/>
                <w:rtl/>
              </w:rPr>
            </w:pPr>
            <w:r>
              <w:rPr>
                <w:rtl/>
              </w:rPr>
              <w:t>תחילת תוקף</w:t>
            </w:r>
          </w:p>
        </w:tc>
        <w:tc>
          <w:tcPr>
            <w:tcW w:w="567" w:type="dxa"/>
          </w:tcPr>
          <w:p w:rsidR="00FC5500" w:rsidRPr="00FC5500" w:rsidRDefault="00FC5500" w:rsidP="00FC5500">
            <w:pPr>
              <w:rPr>
                <w:rStyle w:val="Hyperlink"/>
                <w:rFonts w:hint="cs"/>
                <w:rtl/>
              </w:rPr>
            </w:pPr>
            <w:hyperlink w:anchor="Seif7" w:tooltip="תחילת תוקף" w:history="1">
              <w:r w:rsidRPr="00FC5500">
                <w:rPr>
                  <w:rStyle w:val="Hyperlink"/>
                </w:rPr>
                <w:t>Go</w:t>
              </w:r>
            </w:hyperlink>
          </w:p>
        </w:tc>
        <w:tc>
          <w:tcPr>
            <w:tcW w:w="850" w:type="dxa"/>
          </w:tcPr>
          <w:p w:rsidR="00FC5500" w:rsidRPr="00FC5500" w:rsidRDefault="00FC5500" w:rsidP="00FC55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FC5500" w:rsidRPr="00FC5500">
        <w:tblPrEx>
          <w:tblCellMar>
            <w:top w:w="0" w:type="dxa"/>
            <w:bottom w:w="0" w:type="dxa"/>
          </w:tblCellMar>
        </w:tblPrEx>
        <w:tc>
          <w:tcPr>
            <w:tcW w:w="1247" w:type="dxa"/>
          </w:tcPr>
          <w:p w:rsidR="00FC5500" w:rsidRPr="00FC5500" w:rsidRDefault="00FC5500" w:rsidP="00FC5500">
            <w:pPr>
              <w:rPr>
                <w:rFonts w:cs="Frankruhel" w:hint="cs"/>
                <w:rtl/>
              </w:rPr>
            </w:pPr>
            <w:r>
              <w:rPr>
                <w:rtl/>
              </w:rPr>
              <w:t xml:space="preserve">סעיף 8 </w:t>
            </w:r>
          </w:p>
        </w:tc>
        <w:tc>
          <w:tcPr>
            <w:tcW w:w="5669" w:type="dxa"/>
          </w:tcPr>
          <w:p w:rsidR="00FC5500" w:rsidRPr="00FC5500" w:rsidRDefault="00FC5500" w:rsidP="00FC5500">
            <w:pPr>
              <w:rPr>
                <w:rFonts w:cs="Frankruhel" w:hint="cs"/>
                <w:rtl/>
              </w:rPr>
            </w:pPr>
            <w:r>
              <w:rPr>
                <w:rtl/>
              </w:rPr>
              <w:t>השם</w:t>
            </w:r>
          </w:p>
        </w:tc>
        <w:tc>
          <w:tcPr>
            <w:tcW w:w="567" w:type="dxa"/>
          </w:tcPr>
          <w:p w:rsidR="00FC5500" w:rsidRPr="00FC5500" w:rsidRDefault="00FC5500" w:rsidP="00FC5500">
            <w:pPr>
              <w:rPr>
                <w:rStyle w:val="Hyperlink"/>
                <w:rFonts w:hint="cs"/>
                <w:rtl/>
              </w:rPr>
            </w:pPr>
            <w:hyperlink w:anchor="Seif8" w:tooltip="השם" w:history="1">
              <w:r w:rsidRPr="00FC5500">
                <w:rPr>
                  <w:rStyle w:val="Hyperlink"/>
                </w:rPr>
                <w:t>Go</w:t>
              </w:r>
            </w:hyperlink>
          </w:p>
        </w:tc>
        <w:tc>
          <w:tcPr>
            <w:tcW w:w="850" w:type="dxa"/>
          </w:tcPr>
          <w:p w:rsidR="00FC5500" w:rsidRPr="00FC5500" w:rsidRDefault="00FC5500" w:rsidP="00FC550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bl>
    <w:p w:rsidR="009F4B95" w:rsidRDefault="009F4B95">
      <w:pPr>
        <w:pStyle w:val="big-header"/>
        <w:ind w:left="0" w:right="1134"/>
        <w:rPr>
          <w:rFonts w:cs="FrankRuehl" w:hint="cs"/>
          <w:sz w:val="32"/>
          <w:rtl/>
        </w:rPr>
      </w:pPr>
    </w:p>
    <w:p w:rsidR="009F4B95" w:rsidRDefault="009F4B95">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9F4B95" w:rsidRDefault="009F4B95">
      <w:pPr>
        <w:pStyle w:val="big-header"/>
        <w:ind w:left="0" w:right="1134"/>
        <w:rPr>
          <w:rStyle w:val="default"/>
          <w:rFonts w:hint="cs"/>
          <w:sz w:val="22"/>
          <w:szCs w:val="22"/>
          <w:rtl/>
        </w:rPr>
      </w:pPr>
      <w:r>
        <w:rPr>
          <w:rFonts w:cs="FrankRuehl" w:hint="cs"/>
          <w:sz w:val="32"/>
          <w:rtl/>
        </w:rPr>
        <w:t>צו בדבר שיפוט בבתי משפט לעניינים מקומיים (הוראת שעה) (יהודה והשומרון) (מס' 1564), תשס"ה-2005</w:t>
      </w:r>
      <w:r>
        <w:rPr>
          <w:rStyle w:val="default"/>
          <w:sz w:val="22"/>
          <w:szCs w:val="22"/>
          <w:rtl/>
        </w:rPr>
        <w:footnoteReference w:customMarkFollows="1" w:id="1"/>
        <w:t>*</w:t>
      </w:r>
    </w:p>
    <w:p w:rsidR="009F4B95" w:rsidRDefault="009F4B95">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w:t>
      </w:r>
      <w:r>
        <w:rPr>
          <w:rStyle w:val="default"/>
          <w:rFonts w:cs="FrankRuehl" w:hint="cs"/>
          <w:rtl/>
        </w:rPr>
        <w:t>כמפקד כוחות צה"ל באזור והואיל והנני סבור כי הדבר דרוש לקיום ממשל תקין, להגנה על שלטון החוק ולשמירה על הסדר הציבורי, הנני מורה בזאת לאמור:</w:t>
      </w:r>
    </w:p>
    <w:p w:rsidR="009F4B95" w:rsidRDefault="009F4B95">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6.95pt;z-index:251653120" o:allowincell="f" filled="f" stroked="f" strokecolor="lime" strokeweight=".25pt">
            <v:textbox style="mso-next-textbox:#_x0000_s1026" inset="0,0,0,0">
              <w:txbxContent>
                <w:p w:rsidR="009F4B95" w:rsidRDefault="009F4B9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9F4B95" w:rsidRDefault="009F4B95">
      <w:pPr>
        <w:pStyle w:val="P00"/>
        <w:spacing w:before="72"/>
        <w:ind w:left="0" w:right="1134"/>
        <w:rPr>
          <w:rStyle w:val="default"/>
          <w:rFonts w:cs="FrankRuehl" w:hint="cs"/>
          <w:rtl/>
        </w:rPr>
      </w:pPr>
      <w:r>
        <w:rPr>
          <w:rStyle w:val="default"/>
          <w:rFonts w:cs="FrankRuehl" w:hint="cs"/>
          <w:rtl/>
        </w:rPr>
        <w:tab/>
        <w:t xml:space="preserve">"בית משפט לעניינים מקומיים" </w:t>
      </w:r>
      <w:r>
        <w:rPr>
          <w:rStyle w:val="default"/>
          <w:rFonts w:cs="FrankRuehl"/>
          <w:rtl/>
        </w:rPr>
        <w:t>–</w:t>
      </w:r>
      <w:r>
        <w:rPr>
          <w:rStyle w:val="default"/>
          <w:rFonts w:cs="FrankRuehl" w:hint="cs"/>
          <w:rtl/>
        </w:rPr>
        <w:t xml:space="preserve"> בית משפט לעניינים מקומיים שהוקם לפי סעיף 2(ב) לצו בדבר ניהול מועצות מקומיות (יהודה והשומרון) (מס' 892), תשמ"א-1981, וסעיף 125 לתקנון;</w:t>
      </w:r>
    </w:p>
    <w:p w:rsidR="009F4B95" w:rsidRDefault="009F4B95">
      <w:pPr>
        <w:pStyle w:val="P00"/>
        <w:spacing w:before="72"/>
        <w:ind w:left="0" w:right="1134"/>
        <w:rPr>
          <w:rStyle w:val="default"/>
          <w:rFonts w:cs="FrankRuehl" w:hint="cs"/>
          <w:rtl/>
        </w:rPr>
      </w:pPr>
      <w:r>
        <w:rPr>
          <w:rStyle w:val="default"/>
          <w:rFonts w:cs="FrankRuehl" w:hint="cs"/>
          <w:rtl/>
        </w:rPr>
        <w:tab/>
        <w:t xml:space="preserve">"ישראלי" </w:t>
      </w:r>
      <w:r>
        <w:rPr>
          <w:rStyle w:val="default"/>
          <w:rFonts w:cs="FrankRuehl"/>
          <w:rtl/>
        </w:rPr>
        <w:t>–</w:t>
      </w:r>
      <w:r>
        <w:rPr>
          <w:rStyle w:val="default"/>
          <w:rFonts w:cs="FrankRuehl" w:hint="cs"/>
          <w:rtl/>
        </w:rPr>
        <w:t xml:space="preserve"> כל אחד מאלה:</w:t>
      </w:r>
    </w:p>
    <w:p w:rsidR="009F4B95" w:rsidRDefault="009F4B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אדם הרשום במרשם האוכלוסין בישראל לפי חוק מרשם האוכלוסין, התשכ"ה-1965, כפי תוקפו בישראל;</w:t>
      </w:r>
    </w:p>
    <w:p w:rsidR="009F4B95" w:rsidRDefault="009F4B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אדם שמקום מגוריו באזור והוא אזרח ישראלי או שהוא זכאי לעלות לישראל לפי חוק השבות, התש"י-1950, כפי תוקפו בישראל;</w:t>
      </w:r>
    </w:p>
    <w:p w:rsidR="009F4B95" w:rsidRDefault="009F4B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הרשום בישראל או תאגיד שהוקם על פי דין בישראל;</w:t>
      </w:r>
    </w:p>
    <w:p w:rsidR="009F4B95" w:rsidRDefault="009F4B95">
      <w:pPr>
        <w:pStyle w:val="P00"/>
        <w:spacing w:before="72"/>
        <w:ind w:left="0" w:right="1134"/>
        <w:rPr>
          <w:rStyle w:val="default"/>
          <w:rFonts w:cs="FrankRuehl" w:hint="cs"/>
          <w:rtl/>
        </w:rPr>
      </w:pPr>
      <w:r>
        <w:rPr>
          <w:rStyle w:val="default"/>
          <w:rFonts w:cs="FrankRuehl" w:hint="cs"/>
          <w:rtl/>
        </w:rPr>
        <w:tab/>
        <w:t xml:space="preserve">"התקנון" </w:t>
      </w:r>
      <w:r>
        <w:rPr>
          <w:rStyle w:val="default"/>
          <w:rFonts w:cs="FrankRuehl"/>
          <w:rtl/>
        </w:rPr>
        <w:t>–</w:t>
      </w:r>
      <w:r>
        <w:rPr>
          <w:rStyle w:val="default"/>
          <w:rFonts w:cs="FrankRuehl" w:hint="cs"/>
          <w:rtl/>
        </w:rPr>
        <w:t xml:space="preserve"> תקנון המועצות המקומיות (יהודה והשומרון), תשמ"א-1981.</w:t>
      </w:r>
    </w:p>
    <w:p w:rsidR="009F4B95" w:rsidRDefault="009F4B95">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23.95pt;z-index:251654144" o:allowincell="f" filled="f" stroked="f" strokecolor="lime" strokeweight=".25pt">
            <v:textbox style="mso-next-textbox:#_x0000_s1214" inset="0,0,0,0">
              <w:txbxContent>
                <w:p w:rsidR="009F4B95" w:rsidRDefault="009F4B95">
                  <w:pPr>
                    <w:pStyle w:val="a7"/>
                    <w:rPr>
                      <w:rFonts w:hint="cs"/>
                      <w:noProof/>
                      <w:rtl/>
                    </w:rPr>
                  </w:pPr>
                  <w:r>
                    <w:rPr>
                      <w:rFonts w:hint="cs"/>
                      <w:rtl/>
                    </w:rPr>
                    <w:t>הסמכת בתי משפט לעניינים מקומיים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בנוסף לקבוע בכל דין ותחיקת בטחון, בית משפט לעניינים מקומיים של הערכאה הראשונה מוסמך לדון ישראלי על מעשהו או מחדלו שארעו באזור, אם המעשה או המחדל מהווים עבירה על תחיקת הבטחון המנויה בתוספת לצו זה.</w:t>
      </w:r>
    </w:p>
    <w:p w:rsidR="009F4B95" w:rsidRDefault="009F4B95">
      <w:pPr>
        <w:pStyle w:val="P00"/>
        <w:spacing w:before="72"/>
        <w:ind w:left="0" w:right="1134"/>
        <w:rPr>
          <w:rStyle w:val="default"/>
          <w:rFonts w:cs="FrankRuehl" w:hint="cs"/>
          <w:rtl/>
        </w:rPr>
      </w:pPr>
      <w:bookmarkStart w:id="2" w:name="Seif3"/>
      <w:bookmarkEnd w:id="2"/>
      <w:r>
        <w:rPr>
          <w:rFonts w:cs="Miriam"/>
          <w:lang w:val="he-IL"/>
        </w:rPr>
        <w:pict>
          <v:rect id="_x0000_s1239" style="position:absolute;left:0;text-align:left;margin-left:464.35pt;margin-top:7.1pt;width:75.05pt;height:10.15pt;z-index:251655168" o:allowincell="f" filled="f" stroked="f" strokecolor="lime" strokeweight=".25pt">
            <v:textbox style="mso-next-textbox:#_x0000_s1239" inset="0,0,0,0">
              <w:txbxContent>
                <w:p w:rsidR="009F4B95" w:rsidRDefault="009F4B95">
                  <w:pPr>
                    <w:spacing w:line="160" w:lineRule="exact"/>
                    <w:rPr>
                      <w:rFonts w:cs="Miriam" w:hint="cs"/>
                      <w:noProof/>
                      <w:sz w:val="18"/>
                      <w:szCs w:val="18"/>
                      <w:rtl/>
                    </w:rPr>
                  </w:pPr>
                  <w:r>
                    <w:rPr>
                      <w:rFonts w:cs="Miriam" w:hint="cs"/>
                      <w:sz w:val="18"/>
                      <w:szCs w:val="18"/>
                      <w:rtl/>
                    </w:rPr>
                    <w:t>תחום שיפוט</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תחום שיפוטו של כל בית משפט לעניינים מקומיים לצורך צו זה יהיה כל האזור.</w:t>
      </w:r>
    </w:p>
    <w:p w:rsidR="009F4B95" w:rsidRDefault="009F4B95">
      <w:pPr>
        <w:pStyle w:val="P00"/>
        <w:spacing w:before="72"/>
        <w:ind w:left="0" w:right="1134"/>
        <w:rPr>
          <w:rStyle w:val="default"/>
          <w:rFonts w:cs="FrankRuehl" w:hint="cs"/>
          <w:rtl/>
        </w:rPr>
      </w:pPr>
      <w:bookmarkStart w:id="3" w:name="Seif4"/>
      <w:bookmarkEnd w:id="3"/>
      <w:r>
        <w:rPr>
          <w:rFonts w:cs="Miriam"/>
          <w:lang w:val="he-IL"/>
        </w:rPr>
        <w:pict>
          <v:rect id="_x0000_s1253" style="position:absolute;left:0;text-align:left;margin-left:464.35pt;margin-top:7.1pt;width:75.05pt;height:10.15pt;z-index:251656192" o:allowincell="f" filled="f" stroked="f" strokecolor="lime" strokeweight=".25pt">
            <v:textbox style="mso-next-textbox:#_x0000_s1253" inset="0,0,0,0">
              <w:txbxContent>
                <w:p w:rsidR="009F4B95" w:rsidRDefault="009F4B95">
                  <w:pPr>
                    <w:spacing w:line="160" w:lineRule="exact"/>
                    <w:rPr>
                      <w:rFonts w:cs="Miriam" w:hint="cs"/>
                      <w:noProof/>
                      <w:sz w:val="18"/>
                      <w:szCs w:val="18"/>
                      <w:rtl/>
                    </w:rPr>
                  </w:pPr>
                  <w:r>
                    <w:rPr>
                      <w:rFonts w:cs="Miriam" w:hint="cs"/>
                      <w:sz w:val="18"/>
                      <w:szCs w:val="18"/>
                      <w:rtl/>
                    </w:rPr>
                    <w:t>המאשים</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במשפט פלילי לפי צו זה המאשים הוא מפקד כוחות צה"ל באזור.</w:t>
      </w:r>
    </w:p>
    <w:p w:rsidR="009F4B95" w:rsidRDefault="009F4B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מפקד כוחות צה"ל באזור ייוצג בהליך לפי צו זה על ידי מי שנתמנה על ידי מי שמכהן בישראל כיועץ המשפטי לממשלה.</w:t>
      </w:r>
    </w:p>
    <w:p w:rsidR="009F4B95" w:rsidRDefault="009F4B95">
      <w:pPr>
        <w:pStyle w:val="P00"/>
        <w:spacing w:before="72"/>
        <w:ind w:left="0" w:right="1134"/>
        <w:rPr>
          <w:rStyle w:val="default"/>
          <w:rFonts w:cs="FrankRuehl" w:hint="cs"/>
          <w:rtl/>
        </w:rPr>
      </w:pPr>
      <w:bookmarkStart w:id="4" w:name="Seif5"/>
      <w:bookmarkEnd w:id="4"/>
      <w:r>
        <w:rPr>
          <w:rFonts w:cs="Miriam"/>
          <w:lang w:val="he-IL"/>
        </w:rPr>
        <w:pict>
          <v:rect id="_x0000_s1254" style="position:absolute;left:0;text-align:left;margin-left:464.35pt;margin-top:7.1pt;width:75.05pt;height:10.15pt;z-index:251657216" o:allowincell="f" filled="f" stroked="f" strokecolor="lime" strokeweight=".25pt">
            <v:textbox style="mso-next-textbox:#_x0000_s1254" inset="0,0,0,0">
              <w:txbxContent>
                <w:p w:rsidR="009F4B95" w:rsidRDefault="009F4B95">
                  <w:pPr>
                    <w:spacing w:line="160" w:lineRule="exact"/>
                    <w:rPr>
                      <w:rFonts w:cs="Miriam" w:hint="cs"/>
                      <w:noProof/>
                      <w:sz w:val="18"/>
                      <w:szCs w:val="18"/>
                      <w:rtl/>
                    </w:rPr>
                  </w:pPr>
                  <w:r>
                    <w:rPr>
                      <w:rFonts w:cs="Miriam" w:hint="cs"/>
                      <w:sz w:val="18"/>
                      <w:szCs w:val="18"/>
                      <w:rtl/>
                    </w:rPr>
                    <w:t>תחולת הוראות</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הוראות סעיפים 126א, 129, 130, 131, 133, 133א, 134, 135, 139, 140, ו-140א לתקנון יחולו על שיפוט לפי צו זה.</w:t>
      </w:r>
    </w:p>
    <w:p w:rsidR="009F4B95" w:rsidRDefault="009F4B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מינוי נשיא, ממלא מקום נשיא, שופט או רשם שבוצע או יבוצע לפי סעיף 127 לתקנון יראוהו כמינוי גם לענין צו זה.</w:t>
      </w:r>
    </w:p>
    <w:p w:rsidR="009F4B95" w:rsidRDefault="009F4B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מקום מושב שנקבע או ייקבע לכל בית משפט לעניינים מקומיים לפי סעיף 128(א) ו-(ב) לתקנון יהיה מקום מושבו גם לענין צו זה.</w:t>
      </w:r>
    </w:p>
    <w:p w:rsidR="009F4B95" w:rsidRDefault="009F4B95">
      <w:pPr>
        <w:pStyle w:val="P00"/>
        <w:spacing w:before="72"/>
        <w:ind w:left="0" w:right="1134"/>
        <w:rPr>
          <w:rStyle w:val="default"/>
          <w:rFonts w:cs="FrankRuehl" w:hint="cs"/>
          <w:rtl/>
        </w:rPr>
      </w:pPr>
      <w:bookmarkStart w:id="5" w:name="Seif6"/>
      <w:bookmarkEnd w:id="5"/>
      <w:r>
        <w:rPr>
          <w:rFonts w:cs="Miriam"/>
          <w:lang w:val="he-IL"/>
        </w:rPr>
        <w:pict>
          <v:rect id="_x0000_s1255" style="position:absolute;left:0;text-align:left;margin-left:464.35pt;margin-top:7.1pt;width:75.05pt;height:10.15pt;z-index:251658240" o:allowincell="f" filled="f" stroked="f" strokecolor="lime" strokeweight=".25pt">
            <v:textbox style="mso-next-textbox:#_x0000_s1255" inset="0,0,0,0">
              <w:txbxContent>
                <w:p w:rsidR="009F4B95" w:rsidRDefault="009F4B95">
                  <w:pPr>
                    <w:spacing w:line="160" w:lineRule="exact"/>
                    <w:rPr>
                      <w:rFonts w:cs="Miriam" w:hint="cs"/>
                      <w:noProof/>
                      <w:sz w:val="18"/>
                      <w:szCs w:val="18"/>
                      <w:rtl/>
                    </w:rPr>
                  </w:pPr>
                  <w:r>
                    <w:rPr>
                      <w:rFonts w:cs="Miriam" w:hint="cs"/>
                      <w:sz w:val="18"/>
                      <w:szCs w:val="18"/>
                      <w:rtl/>
                    </w:rPr>
                    <w:t>שמירת סמכויות</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צו זה אינו בא לגרוע מסמכויותיהם של בתי משפט לעניינים מקומיים לדון בעניינים המפורטים בסעיף 126 לתקנון.</w:t>
      </w:r>
    </w:p>
    <w:p w:rsidR="009F4B95" w:rsidRDefault="009F4B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זה אינו בא לגרוע מסמכות הנתונה לכל בית משפט או בית דין אחר בישראל או באזור.</w:t>
      </w:r>
    </w:p>
    <w:p w:rsidR="009F4B95" w:rsidRDefault="009F4B95">
      <w:pPr>
        <w:pStyle w:val="P00"/>
        <w:spacing w:before="72"/>
        <w:ind w:left="0" w:right="1134"/>
        <w:rPr>
          <w:rStyle w:val="big-number"/>
          <w:rFonts w:cs="FrankRuehl" w:hint="cs"/>
          <w:sz w:val="26"/>
          <w:szCs w:val="26"/>
          <w:rtl/>
        </w:rPr>
      </w:pPr>
      <w:bookmarkStart w:id="6" w:name="Seif7"/>
      <w:bookmarkEnd w:id="6"/>
      <w:r>
        <w:rPr>
          <w:rFonts w:cs="Miriam"/>
          <w:lang w:val="he-IL"/>
        </w:rPr>
        <w:pict>
          <v:rect id="_x0000_s1256" style="position:absolute;left:0;text-align:left;margin-left:464.35pt;margin-top:7.1pt;width:75.05pt;height:10.15pt;z-index:251659264" o:allowincell="f" filled="f" stroked="f" strokecolor="lime" strokeweight=".25pt">
            <v:textbox style="mso-next-textbox:#_x0000_s1256" inset="0,0,0,0">
              <w:txbxContent>
                <w:p w:rsidR="009F4B95" w:rsidRDefault="009F4B95">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תחילת תוקפו של צו זה ביום חתימתו.</w:t>
      </w:r>
    </w:p>
    <w:p w:rsidR="009F4B95" w:rsidRDefault="009F4B95">
      <w:pPr>
        <w:pStyle w:val="P00"/>
        <w:spacing w:before="72"/>
        <w:ind w:left="0" w:right="1134"/>
        <w:rPr>
          <w:rStyle w:val="big-number"/>
          <w:rFonts w:cs="FrankRuehl" w:hint="cs"/>
          <w:sz w:val="26"/>
          <w:szCs w:val="26"/>
          <w:rtl/>
        </w:rPr>
      </w:pPr>
      <w:bookmarkStart w:id="7" w:name="Seif8"/>
      <w:bookmarkEnd w:id="7"/>
      <w:r>
        <w:rPr>
          <w:rFonts w:cs="Miriam"/>
          <w:lang w:val="he-IL"/>
        </w:rPr>
        <w:lastRenderedPageBreak/>
        <w:pict>
          <v:rect id="_x0000_s1257" style="position:absolute;left:0;text-align:left;margin-left:464.35pt;margin-top:7.1pt;width:75.05pt;height:10.15pt;z-index:251660288" o:allowincell="f" filled="f" stroked="f" strokecolor="lime" strokeweight=".25pt">
            <v:textbox style="mso-next-textbox:#_x0000_s1257" inset="0,0,0,0">
              <w:txbxContent>
                <w:p w:rsidR="009F4B95" w:rsidRDefault="009F4B95">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צו זה ייקרא: "צו בדבר שיפוט בבתי משפט לעניינים מקומיים (הוראת שעה) (יהודה והשומרון) (מס' 1564), התשס"ה-2005".</w:t>
      </w:r>
    </w:p>
    <w:p w:rsidR="009F4B95" w:rsidRDefault="009F4B95">
      <w:pPr>
        <w:pStyle w:val="P00"/>
        <w:spacing w:before="72"/>
        <w:ind w:left="0" w:right="1134"/>
        <w:rPr>
          <w:rStyle w:val="default"/>
          <w:rFonts w:cs="FrankRuehl" w:hint="cs"/>
          <w:rtl/>
        </w:rPr>
      </w:pPr>
    </w:p>
    <w:p w:rsidR="009F4B95" w:rsidRDefault="009F4B95">
      <w:pPr>
        <w:pStyle w:val="P00"/>
        <w:spacing w:before="72"/>
        <w:ind w:left="0" w:right="1134"/>
        <w:jc w:val="center"/>
        <w:rPr>
          <w:rStyle w:val="default"/>
          <w:rFonts w:cs="FrankRuehl" w:hint="cs"/>
          <w:b/>
          <w:bCs/>
          <w:rtl/>
        </w:rPr>
      </w:pPr>
      <w:r>
        <w:rPr>
          <w:rStyle w:val="default"/>
          <w:rFonts w:cs="FrankRuehl" w:hint="cs"/>
          <w:b/>
          <w:bCs/>
          <w:rtl/>
        </w:rPr>
        <w:t>תוספת</w:t>
      </w:r>
    </w:p>
    <w:p w:rsidR="009F4B95" w:rsidRDefault="009F4B95">
      <w:pPr>
        <w:pStyle w:val="P00"/>
        <w:spacing w:before="72"/>
        <w:ind w:left="0" w:right="1134"/>
        <w:jc w:val="center"/>
        <w:rPr>
          <w:rStyle w:val="default"/>
          <w:rFonts w:cs="FrankRuehl" w:hint="cs"/>
          <w:sz w:val="24"/>
          <w:szCs w:val="24"/>
          <w:rtl/>
        </w:rPr>
      </w:pPr>
      <w:r>
        <w:rPr>
          <w:rStyle w:val="default"/>
          <w:rFonts w:cs="FrankRuehl" w:hint="cs"/>
          <w:sz w:val="24"/>
          <w:szCs w:val="24"/>
          <w:rtl/>
        </w:rPr>
        <w:t>(סעיף 2)</w:t>
      </w:r>
    </w:p>
    <w:p w:rsidR="009F4B95" w:rsidRDefault="009F4B9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צו בדבר העברת טובין (יהודה והשומרון) (מס' 1252), התשמ"ח-1988, ולפי כל תקנה או הוראה מכוחו.</w:t>
      </w:r>
    </w:p>
    <w:p w:rsidR="009F4B95" w:rsidRDefault="009F4B9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צו בדבר מבנים בלתי מורשים (הוראת שעה) (יהודה והשומרון) (מס' 1539), התשס"ד-2003, ולפי כל הוראה או הכרזה מכוחו.</w:t>
      </w:r>
    </w:p>
    <w:p w:rsidR="009F4B95" w:rsidRDefault="00692971" w:rsidP="0069297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258" type="#_x0000_t202" style="position:absolute;left:0;text-align:left;margin-left:470.35pt;margin-top:7.1pt;width:1in;height:18pt;z-index:251661312" filled="f" stroked="f">
            <v:textbox inset="1mm,0,1mm,0">
              <w:txbxContent>
                <w:p w:rsidR="00692971" w:rsidRDefault="00692971" w:rsidP="00692971">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תש"ע-2009</w:t>
                  </w:r>
                </w:p>
              </w:txbxContent>
            </v:textbox>
            <w10:anchorlock/>
          </v:shape>
        </w:pict>
      </w:r>
      <w:r w:rsidR="009F4B95">
        <w:rPr>
          <w:rStyle w:val="default"/>
          <w:rFonts w:cs="FrankRuehl" w:hint="cs"/>
          <w:rtl/>
        </w:rPr>
        <w:t>3.</w:t>
      </w:r>
      <w:r w:rsidR="009F4B95">
        <w:rPr>
          <w:rStyle w:val="default"/>
          <w:rFonts w:cs="FrankRuehl" w:hint="cs"/>
          <w:rtl/>
        </w:rPr>
        <w:tab/>
      </w:r>
      <w:r w:rsidRPr="00692971">
        <w:rPr>
          <w:rStyle w:val="default"/>
          <w:rFonts w:cs="FrankRuehl" w:hint="cs"/>
          <w:rtl/>
        </w:rPr>
        <w:t>סעיף 332 לצו בדבר הוראות ביטחון [נוסח משולב] (יהודה והשומרון) (מס' 1651), התש"ע-2009</w:t>
      </w:r>
      <w:r w:rsidR="009F4B95">
        <w:rPr>
          <w:rStyle w:val="default"/>
          <w:rFonts w:cs="FrankRuehl" w:hint="cs"/>
          <w:rtl/>
        </w:rPr>
        <w:t>.</w:t>
      </w:r>
    </w:p>
    <w:p w:rsidR="00692971" w:rsidRPr="00105C2B" w:rsidRDefault="00692971" w:rsidP="00692971">
      <w:pPr>
        <w:pStyle w:val="P00"/>
        <w:spacing w:before="0"/>
        <w:ind w:left="0" w:right="1134"/>
        <w:rPr>
          <w:rStyle w:val="default"/>
          <w:rFonts w:cs="FrankRuehl" w:hint="cs"/>
          <w:vanish/>
          <w:color w:val="FF0000"/>
          <w:sz w:val="20"/>
          <w:szCs w:val="20"/>
          <w:shd w:val="clear" w:color="auto" w:fill="FFFF99"/>
          <w:rtl/>
        </w:rPr>
      </w:pPr>
      <w:bookmarkStart w:id="8" w:name="Rov2"/>
      <w:r w:rsidRPr="00105C2B">
        <w:rPr>
          <w:rStyle w:val="default"/>
          <w:rFonts w:cs="FrankRuehl" w:hint="cs"/>
          <w:vanish/>
          <w:color w:val="FF0000"/>
          <w:sz w:val="20"/>
          <w:szCs w:val="20"/>
          <w:shd w:val="clear" w:color="auto" w:fill="FFFF99"/>
          <w:rtl/>
        </w:rPr>
        <w:t>מיום 2.5.2010</w:t>
      </w:r>
    </w:p>
    <w:p w:rsidR="00692971" w:rsidRPr="00105C2B" w:rsidRDefault="00692971" w:rsidP="00692971">
      <w:pPr>
        <w:pStyle w:val="P00"/>
        <w:spacing w:before="0"/>
        <w:ind w:left="0" w:right="1134"/>
        <w:rPr>
          <w:rStyle w:val="default"/>
          <w:rFonts w:cs="FrankRuehl" w:hint="cs"/>
          <w:vanish/>
          <w:sz w:val="20"/>
          <w:szCs w:val="20"/>
          <w:shd w:val="clear" w:color="auto" w:fill="FFFF99"/>
          <w:rtl/>
        </w:rPr>
      </w:pPr>
      <w:r w:rsidRPr="00105C2B">
        <w:rPr>
          <w:rStyle w:val="default"/>
          <w:rFonts w:cs="FrankRuehl" w:hint="cs"/>
          <w:b/>
          <w:bCs/>
          <w:vanish/>
          <w:sz w:val="20"/>
          <w:szCs w:val="20"/>
          <w:shd w:val="clear" w:color="auto" w:fill="FFFF99"/>
          <w:rtl/>
        </w:rPr>
        <w:t>תיקון מס' 1 תש"ע-2009</w:t>
      </w:r>
    </w:p>
    <w:p w:rsidR="00692971" w:rsidRPr="00105C2B" w:rsidRDefault="00692971" w:rsidP="00692971">
      <w:pPr>
        <w:pStyle w:val="P00"/>
        <w:spacing w:before="0"/>
        <w:ind w:left="0" w:right="1134"/>
        <w:rPr>
          <w:rStyle w:val="default"/>
          <w:rFonts w:cs="FrankRuehl" w:hint="cs"/>
          <w:vanish/>
          <w:sz w:val="20"/>
          <w:szCs w:val="20"/>
          <w:shd w:val="clear" w:color="auto" w:fill="FFFF99"/>
          <w:rtl/>
        </w:rPr>
      </w:pPr>
      <w:hyperlink r:id="rId7" w:history="1">
        <w:r w:rsidRPr="00105C2B">
          <w:rPr>
            <w:rStyle w:val="Hyperlink"/>
            <w:rFonts w:cs="FrankRuehl" w:hint="cs"/>
            <w:vanish/>
            <w:szCs w:val="20"/>
            <w:shd w:val="clear" w:color="auto" w:fill="FFFF99"/>
            <w:rtl/>
          </w:rPr>
          <w:t>קובץ המנשרים מס' 234</w:t>
        </w:r>
      </w:hyperlink>
      <w:r w:rsidRPr="00105C2B">
        <w:rPr>
          <w:rStyle w:val="default"/>
          <w:rFonts w:cs="FrankRuehl" w:hint="cs"/>
          <w:vanish/>
          <w:sz w:val="20"/>
          <w:szCs w:val="20"/>
          <w:shd w:val="clear" w:color="auto" w:fill="FFFF99"/>
          <w:rtl/>
        </w:rPr>
        <w:t xml:space="preserve"> מחודש דצמבר 2009 עמ' 5993</w:t>
      </w:r>
    </w:p>
    <w:p w:rsidR="00692971" w:rsidRPr="00692971" w:rsidRDefault="00692971" w:rsidP="00692971">
      <w:pPr>
        <w:pStyle w:val="P00"/>
        <w:tabs>
          <w:tab w:val="clear" w:pos="624"/>
          <w:tab w:val="clear" w:pos="1021"/>
          <w:tab w:val="clear" w:pos="1474"/>
          <w:tab w:val="clear" w:pos="1928"/>
          <w:tab w:val="clear" w:pos="2381"/>
          <w:tab w:val="clear" w:pos="2835"/>
          <w:tab w:val="clear" w:pos="6259"/>
          <w:tab w:val="left" w:pos="397"/>
          <w:tab w:val="left" w:pos="794"/>
          <w:tab w:val="left" w:pos="1191"/>
        </w:tabs>
        <w:ind w:left="397" w:right="1134" w:hanging="397"/>
        <w:rPr>
          <w:rStyle w:val="default"/>
          <w:rFonts w:cs="FrankRuehl" w:hint="cs"/>
          <w:sz w:val="2"/>
          <w:szCs w:val="2"/>
          <w:rtl/>
        </w:rPr>
      </w:pPr>
      <w:r w:rsidRPr="00105C2B">
        <w:rPr>
          <w:rStyle w:val="default"/>
          <w:rFonts w:cs="FrankRuehl" w:hint="cs"/>
          <w:vanish/>
          <w:sz w:val="22"/>
          <w:szCs w:val="22"/>
          <w:shd w:val="clear" w:color="auto" w:fill="FFFF99"/>
          <w:rtl/>
        </w:rPr>
        <w:t>3.</w:t>
      </w:r>
      <w:r w:rsidRPr="00105C2B">
        <w:rPr>
          <w:rStyle w:val="default"/>
          <w:rFonts w:cs="FrankRuehl" w:hint="cs"/>
          <w:vanish/>
          <w:sz w:val="22"/>
          <w:szCs w:val="22"/>
          <w:shd w:val="clear" w:color="auto" w:fill="FFFF99"/>
          <w:rtl/>
        </w:rPr>
        <w:tab/>
      </w:r>
      <w:r w:rsidRPr="00105C2B">
        <w:rPr>
          <w:rStyle w:val="default"/>
          <w:rFonts w:cs="FrankRuehl" w:hint="cs"/>
          <w:strike/>
          <w:vanish/>
          <w:sz w:val="22"/>
          <w:szCs w:val="22"/>
          <w:shd w:val="clear" w:color="auto" w:fill="FFFF99"/>
          <w:rtl/>
        </w:rPr>
        <w:t>צו בדבר פיקוח על הבניה (יהודה והשומרון) (מס' 393), תש"ל-1970</w:t>
      </w:r>
      <w:r w:rsidRPr="00105C2B">
        <w:rPr>
          <w:rStyle w:val="default"/>
          <w:rFonts w:cs="FrankRuehl" w:hint="cs"/>
          <w:vanish/>
          <w:sz w:val="22"/>
          <w:szCs w:val="22"/>
          <w:shd w:val="clear" w:color="auto" w:fill="FFFF99"/>
          <w:rtl/>
        </w:rPr>
        <w:t xml:space="preserve"> </w:t>
      </w:r>
      <w:r w:rsidRPr="00105C2B">
        <w:rPr>
          <w:rStyle w:val="default"/>
          <w:rFonts w:cs="FrankRuehl" w:hint="cs"/>
          <w:vanish/>
          <w:sz w:val="22"/>
          <w:szCs w:val="22"/>
          <w:u w:val="single"/>
          <w:shd w:val="clear" w:color="auto" w:fill="FFFF99"/>
          <w:rtl/>
        </w:rPr>
        <w:t>סעיף 332 לצו בדבר הוראות ביטחון [נוסח משולב] (יהודה והשומרון) (מס' 1651), התש"ע-2009</w:t>
      </w:r>
      <w:r w:rsidRPr="00105C2B">
        <w:rPr>
          <w:rStyle w:val="default"/>
          <w:rFonts w:cs="FrankRuehl" w:hint="cs"/>
          <w:vanish/>
          <w:sz w:val="22"/>
          <w:szCs w:val="22"/>
          <w:shd w:val="clear" w:color="auto" w:fill="FFFF99"/>
          <w:rtl/>
        </w:rPr>
        <w:t>.</w:t>
      </w:r>
      <w:bookmarkEnd w:id="8"/>
    </w:p>
    <w:p w:rsidR="002E67A9" w:rsidRPr="00191B07" w:rsidRDefault="002E67A9" w:rsidP="002E67A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191B07">
        <w:rPr>
          <w:rFonts w:cs="FrankRuehl" w:hint="cs"/>
          <w:sz w:val="26"/>
          <w:rtl/>
          <w:lang w:eastAsia="en-US"/>
        </w:rPr>
        <w:pict>
          <v:shape id="_x0000_s1259" type="#_x0000_t202" style="position:absolute;left:0;text-align:left;margin-left:470.35pt;margin-top:7.1pt;width:1in;height:18pt;z-index:251662336" filled="f" stroked="f">
            <v:textbox inset="1mm,0,1mm,0">
              <w:txbxContent>
                <w:p w:rsidR="002E67A9" w:rsidRDefault="002E67A9" w:rsidP="002E67A9">
                  <w:pPr>
                    <w:spacing w:line="160" w:lineRule="exact"/>
                    <w:rPr>
                      <w:rFonts w:cs="Miriam" w:hint="cs"/>
                      <w:noProof/>
                      <w:sz w:val="18"/>
                      <w:szCs w:val="18"/>
                      <w:rtl/>
                    </w:rPr>
                  </w:pPr>
                  <w:r>
                    <w:rPr>
                      <w:rFonts w:cs="Miriam" w:hint="cs"/>
                      <w:sz w:val="18"/>
                      <w:szCs w:val="18"/>
                      <w:rtl/>
                    </w:rPr>
                    <w:t xml:space="preserve">תיקון מס' </w:t>
                  </w:r>
                  <w:r w:rsidR="00124FA4">
                    <w:rPr>
                      <w:rFonts w:cs="Miriam" w:hint="cs"/>
                      <w:sz w:val="18"/>
                      <w:szCs w:val="18"/>
                      <w:rtl/>
                    </w:rPr>
                    <w:t>2</w:t>
                  </w:r>
                  <w:r>
                    <w:rPr>
                      <w:rFonts w:cs="Miriam" w:hint="cs"/>
                      <w:sz w:val="18"/>
                      <w:szCs w:val="18"/>
                      <w:rtl/>
                    </w:rPr>
                    <w:t xml:space="preserve"> תשע"ב-2012</w:t>
                  </w:r>
                </w:p>
              </w:txbxContent>
            </v:textbox>
            <w10:anchorlock/>
          </v:shape>
        </w:pict>
      </w:r>
      <w:r w:rsidRPr="00191B07">
        <w:rPr>
          <w:rStyle w:val="default"/>
          <w:rFonts w:cs="FrankRuehl" w:hint="cs"/>
          <w:rtl/>
        </w:rPr>
        <w:t>4.</w:t>
      </w:r>
      <w:r w:rsidRPr="00191B07">
        <w:rPr>
          <w:rStyle w:val="default"/>
          <w:rFonts w:cs="FrankRuehl" w:hint="cs"/>
          <w:rtl/>
        </w:rPr>
        <w:tab/>
        <w:t>צו בדבר ההתגוננות האזרחית (יהודה והשומרון) (מס' 1670), התשע"ב-2012.</w:t>
      </w:r>
    </w:p>
    <w:p w:rsidR="009F4B95" w:rsidRPr="00105C2B" w:rsidRDefault="002E67A9" w:rsidP="002E67A9">
      <w:pPr>
        <w:pStyle w:val="P00"/>
        <w:spacing w:before="0"/>
        <w:ind w:left="0" w:right="1134"/>
        <w:rPr>
          <w:rStyle w:val="default"/>
          <w:rFonts w:cs="FrankRuehl" w:hint="cs"/>
          <w:vanish/>
          <w:color w:val="FF0000"/>
          <w:sz w:val="20"/>
          <w:szCs w:val="20"/>
          <w:shd w:val="clear" w:color="auto" w:fill="FFFF99"/>
          <w:rtl/>
        </w:rPr>
      </w:pPr>
      <w:bookmarkStart w:id="9" w:name="Rov10"/>
      <w:r w:rsidRPr="00105C2B">
        <w:rPr>
          <w:rStyle w:val="default"/>
          <w:rFonts w:cs="FrankRuehl" w:hint="cs"/>
          <w:vanish/>
          <w:color w:val="FF0000"/>
          <w:sz w:val="20"/>
          <w:szCs w:val="20"/>
          <w:shd w:val="clear" w:color="auto" w:fill="FFFF99"/>
          <w:rtl/>
        </w:rPr>
        <w:t>מיום 16.6.2012</w:t>
      </w:r>
    </w:p>
    <w:p w:rsidR="002E67A9" w:rsidRPr="00105C2B" w:rsidRDefault="00124FA4" w:rsidP="002E67A9">
      <w:pPr>
        <w:pStyle w:val="P00"/>
        <w:spacing w:before="0"/>
        <w:ind w:left="0" w:right="1134"/>
        <w:rPr>
          <w:rStyle w:val="default"/>
          <w:rFonts w:cs="FrankRuehl" w:hint="cs"/>
          <w:b/>
          <w:bCs/>
          <w:vanish/>
          <w:sz w:val="20"/>
          <w:szCs w:val="20"/>
          <w:shd w:val="clear" w:color="auto" w:fill="FFFF99"/>
          <w:rtl/>
        </w:rPr>
      </w:pPr>
      <w:r w:rsidRPr="00105C2B">
        <w:rPr>
          <w:rStyle w:val="default"/>
          <w:rFonts w:cs="FrankRuehl" w:hint="cs"/>
          <w:b/>
          <w:bCs/>
          <w:vanish/>
          <w:sz w:val="20"/>
          <w:szCs w:val="20"/>
          <w:shd w:val="clear" w:color="auto" w:fill="FFFF99"/>
          <w:rtl/>
        </w:rPr>
        <w:t>תיקון מס' 2</w:t>
      </w:r>
      <w:r w:rsidR="002E67A9" w:rsidRPr="00105C2B">
        <w:rPr>
          <w:rStyle w:val="default"/>
          <w:rFonts w:cs="FrankRuehl" w:hint="cs"/>
          <w:b/>
          <w:bCs/>
          <w:vanish/>
          <w:sz w:val="20"/>
          <w:szCs w:val="20"/>
          <w:shd w:val="clear" w:color="auto" w:fill="FFFF99"/>
          <w:rtl/>
        </w:rPr>
        <w:t xml:space="preserve"> תשע"ב-2012</w:t>
      </w:r>
    </w:p>
    <w:p w:rsidR="00105C2B" w:rsidRPr="00105C2B" w:rsidRDefault="00105C2B" w:rsidP="00105C2B">
      <w:pPr>
        <w:pStyle w:val="P00"/>
        <w:spacing w:before="0"/>
        <w:ind w:left="0" w:right="1134"/>
        <w:rPr>
          <w:rStyle w:val="big-number"/>
          <w:rFonts w:cs="FrankRuehl" w:hint="cs"/>
          <w:vanish/>
          <w:sz w:val="20"/>
          <w:szCs w:val="20"/>
          <w:shd w:val="clear" w:color="auto" w:fill="FFFF99"/>
          <w:rtl/>
        </w:rPr>
      </w:pPr>
      <w:hyperlink r:id="rId8" w:history="1">
        <w:r w:rsidRPr="00105C2B">
          <w:rPr>
            <w:rStyle w:val="Hyperlink"/>
            <w:rFonts w:cs="FrankRuehl" w:hint="cs"/>
            <w:vanish/>
            <w:szCs w:val="20"/>
            <w:shd w:val="clear" w:color="auto" w:fill="FFFF99"/>
            <w:rtl/>
          </w:rPr>
          <w:t>קובץ המנשרים מס' 239</w:t>
        </w:r>
      </w:hyperlink>
      <w:r w:rsidRPr="00105C2B">
        <w:rPr>
          <w:rStyle w:val="big-number"/>
          <w:rFonts w:cs="FrankRuehl" w:hint="cs"/>
          <w:vanish/>
          <w:sz w:val="20"/>
          <w:szCs w:val="20"/>
          <w:shd w:val="clear" w:color="auto" w:fill="FFFF99"/>
          <w:rtl/>
        </w:rPr>
        <w:t xml:space="preserve"> מחודש נובמבר 2012 עמ' 6689</w:t>
      </w:r>
    </w:p>
    <w:p w:rsidR="002E67A9" w:rsidRPr="00191B07" w:rsidRDefault="002E67A9" w:rsidP="00191B07">
      <w:pPr>
        <w:pStyle w:val="P00"/>
        <w:spacing w:before="0"/>
        <w:ind w:left="0" w:right="1134"/>
        <w:rPr>
          <w:rStyle w:val="default"/>
          <w:rFonts w:cs="FrankRuehl" w:hint="cs"/>
          <w:b/>
          <w:bCs/>
          <w:sz w:val="2"/>
          <w:szCs w:val="2"/>
          <w:shd w:val="clear" w:color="auto" w:fill="FFFF99"/>
          <w:rtl/>
        </w:rPr>
      </w:pPr>
      <w:r w:rsidRPr="00105C2B">
        <w:rPr>
          <w:rStyle w:val="default"/>
          <w:rFonts w:cs="FrankRuehl" w:hint="cs"/>
          <w:b/>
          <w:bCs/>
          <w:vanish/>
          <w:sz w:val="20"/>
          <w:szCs w:val="20"/>
          <w:shd w:val="clear" w:color="auto" w:fill="FFFF99"/>
          <w:rtl/>
        </w:rPr>
        <w:t>הוספת פרט 4</w:t>
      </w:r>
      <w:bookmarkEnd w:id="9"/>
    </w:p>
    <w:p w:rsidR="002E67A9" w:rsidRDefault="002E67A9">
      <w:pPr>
        <w:pStyle w:val="P00"/>
        <w:spacing w:before="72"/>
        <w:ind w:left="0" w:right="1134"/>
        <w:rPr>
          <w:rStyle w:val="default"/>
          <w:rFonts w:cs="FrankRuehl" w:hint="cs"/>
          <w:rtl/>
        </w:rPr>
      </w:pPr>
    </w:p>
    <w:p w:rsidR="00692971" w:rsidRDefault="00692971">
      <w:pPr>
        <w:pStyle w:val="P00"/>
        <w:spacing w:before="72"/>
        <w:ind w:left="0" w:right="1134"/>
        <w:rPr>
          <w:rStyle w:val="default"/>
          <w:rFonts w:cs="FrankRuehl" w:hint="cs"/>
          <w:rtl/>
        </w:rPr>
      </w:pPr>
    </w:p>
    <w:p w:rsidR="009F4B95" w:rsidRDefault="009F4B95">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כ"ג בסיוון התשס"ה (30 ביוני 2005)</w:t>
      </w:r>
      <w:r>
        <w:rPr>
          <w:rStyle w:val="default"/>
          <w:rFonts w:cs="FrankRuehl" w:hint="cs"/>
          <w:rtl/>
        </w:rPr>
        <w:tab/>
      </w:r>
      <w:r>
        <w:rPr>
          <w:rFonts w:cs="FrankRuehl" w:hint="cs"/>
          <w:rtl/>
        </w:rPr>
        <w:t>יאיר נווה, אלוף</w:t>
      </w:r>
    </w:p>
    <w:p w:rsidR="009F4B95" w:rsidRDefault="009F4B95" w:rsidP="00692971">
      <w:pPr>
        <w:pStyle w:val="sig-0"/>
        <w:tabs>
          <w:tab w:val="clear" w:pos="4820"/>
          <w:tab w:val="center" w:pos="5103"/>
        </w:tabs>
        <w:spacing w:before="0"/>
        <w:ind w:left="0" w:right="1134"/>
        <w:rPr>
          <w:rFonts w:cs="FrankRuehl" w:hint="cs"/>
          <w:sz w:val="22"/>
          <w:szCs w:val="22"/>
          <w:rtl/>
        </w:rPr>
      </w:pPr>
      <w:r>
        <w:rPr>
          <w:rFonts w:cs="FrankRuehl" w:hint="cs"/>
          <w:sz w:val="22"/>
          <w:szCs w:val="22"/>
          <w:rtl/>
        </w:rPr>
        <w:tab/>
        <w:t>מפקד כוחות צה"ל</w:t>
      </w:r>
    </w:p>
    <w:p w:rsidR="009F4B95" w:rsidRDefault="009F4B95" w:rsidP="00692971">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באזור יהודה והשומרון</w:t>
      </w:r>
    </w:p>
    <w:p w:rsidR="009F4B95" w:rsidRDefault="009F4B95">
      <w:pPr>
        <w:pStyle w:val="sig-0"/>
        <w:tabs>
          <w:tab w:val="clear" w:pos="4820"/>
          <w:tab w:val="center" w:pos="5670"/>
        </w:tabs>
        <w:ind w:left="0" w:right="1134"/>
        <w:rPr>
          <w:rFonts w:cs="FrankRuehl" w:hint="cs"/>
          <w:sz w:val="26"/>
          <w:rtl/>
        </w:rPr>
      </w:pPr>
    </w:p>
    <w:p w:rsidR="009F4B95" w:rsidRDefault="009F4B95">
      <w:pPr>
        <w:pStyle w:val="sig-0"/>
        <w:tabs>
          <w:tab w:val="clear" w:pos="4820"/>
          <w:tab w:val="center" w:pos="5670"/>
        </w:tabs>
        <w:ind w:left="0" w:right="1134"/>
        <w:rPr>
          <w:rFonts w:cs="FrankRuehl" w:hint="cs"/>
          <w:sz w:val="26"/>
          <w:rtl/>
        </w:rPr>
      </w:pPr>
    </w:p>
    <w:p w:rsidR="00FC5500" w:rsidRDefault="00FC5500">
      <w:pPr>
        <w:pStyle w:val="sig-0"/>
        <w:ind w:left="0" w:right="1134"/>
        <w:rPr>
          <w:rFonts w:cs="FrankRuehl"/>
          <w:sz w:val="26"/>
          <w:rtl/>
        </w:rPr>
      </w:pPr>
    </w:p>
    <w:p w:rsidR="00FC5500" w:rsidRDefault="00FC5500">
      <w:pPr>
        <w:pStyle w:val="sig-0"/>
        <w:ind w:left="0" w:right="1134"/>
        <w:rPr>
          <w:rFonts w:cs="FrankRuehl"/>
          <w:sz w:val="26"/>
          <w:rtl/>
        </w:rPr>
      </w:pPr>
    </w:p>
    <w:p w:rsidR="00FC5500" w:rsidRDefault="00FC5500" w:rsidP="00FC5500">
      <w:pPr>
        <w:pStyle w:val="sig-0"/>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rsidR="009F4B95" w:rsidRPr="00FC5500" w:rsidRDefault="009F4B95" w:rsidP="00FC5500">
      <w:pPr>
        <w:pStyle w:val="sig-0"/>
        <w:ind w:left="0" w:right="1134"/>
        <w:jc w:val="center"/>
        <w:rPr>
          <w:rFonts w:cs="David"/>
          <w:color w:val="0000FF"/>
          <w:sz w:val="26"/>
          <w:szCs w:val="24"/>
          <w:u w:val="single"/>
          <w:rtl/>
        </w:rPr>
      </w:pPr>
    </w:p>
    <w:sectPr w:rsidR="009F4B95" w:rsidRPr="00FC5500">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0E05" w:rsidRDefault="00FB0E05">
      <w:r>
        <w:separator/>
      </w:r>
    </w:p>
  </w:endnote>
  <w:endnote w:type="continuationSeparator" w:id="0">
    <w:p w:rsidR="00FB0E05" w:rsidRDefault="00FB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B95" w:rsidRDefault="009F4B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F4B95" w:rsidRDefault="009F4B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4B95" w:rsidRDefault="009F4B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5500">
      <w:rPr>
        <w:rFonts w:cs="TopType Jerushalmi"/>
        <w:noProof/>
        <w:color w:val="000000"/>
        <w:sz w:val="14"/>
        <w:szCs w:val="14"/>
      </w:rPr>
      <w:t>Y:\000000000000-law\yael\10-03-16\666_004.doc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B95" w:rsidRDefault="009F4B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352B">
      <w:rPr>
        <w:rFonts w:hAnsi="FrankRuehl" w:cs="FrankRuehl"/>
        <w:noProof/>
        <w:sz w:val="24"/>
        <w:szCs w:val="24"/>
        <w:rtl/>
      </w:rPr>
      <w:t>3</w:t>
    </w:r>
    <w:r>
      <w:rPr>
        <w:rFonts w:hAnsi="FrankRuehl" w:cs="FrankRuehl"/>
        <w:sz w:val="24"/>
        <w:szCs w:val="24"/>
        <w:rtl/>
      </w:rPr>
      <w:fldChar w:fldCharType="end"/>
    </w:r>
  </w:p>
  <w:p w:rsidR="009F4B95" w:rsidRDefault="009F4B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4B95" w:rsidRDefault="009F4B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5500">
      <w:rPr>
        <w:rFonts w:cs="TopType Jerushalmi"/>
        <w:noProof/>
        <w:color w:val="000000"/>
        <w:sz w:val="14"/>
        <w:szCs w:val="14"/>
      </w:rPr>
      <w:t>Y:\000000000000-law\yael\10-03-16\666_004.doc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0E05" w:rsidRDefault="00FB0E05">
      <w:pPr>
        <w:pStyle w:val="a5"/>
        <w:rPr>
          <w:rFonts w:cs="David"/>
          <w:sz w:val="24"/>
          <w:szCs w:val="24"/>
        </w:rPr>
      </w:pPr>
      <w:r>
        <w:separator/>
      </w:r>
    </w:p>
  </w:footnote>
  <w:footnote w:type="continuationSeparator" w:id="0">
    <w:p w:rsidR="00FB0E05" w:rsidRDefault="00FB0E05">
      <w:r>
        <w:continuationSeparator/>
      </w:r>
    </w:p>
  </w:footnote>
  <w:footnote w:id="1">
    <w:p w:rsidR="009F4B95" w:rsidRDefault="009F4B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210</w:t>
        </w:r>
      </w:hyperlink>
      <w:r>
        <w:rPr>
          <w:rFonts w:cs="FrankRuehl" w:hint="cs"/>
          <w:rtl/>
        </w:rPr>
        <w:t xml:space="preserve"> מחודש ינואר 2006 עמ' 4051.</w:t>
      </w:r>
    </w:p>
    <w:p w:rsidR="00692971" w:rsidRDefault="00692971" w:rsidP="006929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AC41E7">
          <w:rPr>
            <w:rStyle w:val="Hyperlink"/>
            <w:rFonts w:cs="FrankRuehl" w:hint="cs"/>
            <w:rtl/>
          </w:rPr>
          <w:t>קובץ המנשרים מס' 234</w:t>
        </w:r>
      </w:hyperlink>
      <w:r>
        <w:rPr>
          <w:rFonts w:cs="FrankRuehl" w:hint="cs"/>
          <w:rtl/>
        </w:rPr>
        <w:t xml:space="preserve"> מחודש דצמבר 2009 עמ' 5993 </w:t>
      </w:r>
      <w:r>
        <w:rPr>
          <w:rFonts w:cs="FrankRuehl"/>
          <w:rtl/>
        </w:rPr>
        <w:t>–</w:t>
      </w:r>
      <w:r>
        <w:rPr>
          <w:rFonts w:cs="FrankRuehl" w:hint="cs"/>
          <w:rtl/>
        </w:rPr>
        <w:t xml:space="preserve"> תיקון מס' 1 בסעיף 335(כט) לצו בדבר הוראות ביטחון [נוסח משולב] (יהודה והשומרון) (מס' 1651), תש"ע-2009; תחילתו ביום 2.5.2010.</w:t>
      </w:r>
    </w:p>
    <w:p w:rsidR="0021352B" w:rsidRDefault="0021352B" w:rsidP="002135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105C2B" w:rsidRPr="0021352B">
          <w:rPr>
            <w:rStyle w:val="Hyperlink"/>
            <w:rFonts w:cs="FrankRuehl" w:hint="cs"/>
            <w:rtl/>
          </w:rPr>
          <w:t>קובץ המנשרים מס' 239</w:t>
        </w:r>
      </w:hyperlink>
      <w:r w:rsidR="00105C2B">
        <w:rPr>
          <w:rFonts w:cs="FrankRuehl" w:hint="cs"/>
          <w:rtl/>
        </w:rPr>
        <w:t xml:space="preserve"> מחודש נובמבר 2012 עמ' 6689</w:t>
      </w:r>
      <w:r w:rsidR="002E67A9">
        <w:rPr>
          <w:rFonts w:cs="FrankRuehl" w:hint="cs"/>
          <w:rtl/>
        </w:rPr>
        <w:t xml:space="preserve"> </w:t>
      </w:r>
      <w:r w:rsidR="002E67A9">
        <w:rPr>
          <w:rFonts w:cs="FrankRuehl"/>
          <w:rtl/>
        </w:rPr>
        <w:t>–</w:t>
      </w:r>
      <w:r w:rsidR="002E67A9">
        <w:rPr>
          <w:rFonts w:cs="FrankRuehl" w:hint="cs"/>
          <w:rtl/>
        </w:rPr>
        <w:t xml:space="preserve"> תיקון מס' 2 בסעיף 39 לצו בדבר ההתגוננות האזרחית (יהודה והשומרון) (מס' 16</w:t>
      </w:r>
      <w:r w:rsidR="00105C2B">
        <w:rPr>
          <w:rFonts w:cs="FrankRuehl" w:hint="cs"/>
          <w:rtl/>
        </w:rPr>
        <w:t>99</w:t>
      </w:r>
      <w:r w:rsidR="002E67A9">
        <w:rPr>
          <w:rFonts w:cs="FrankRuehl" w:hint="cs"/>
          <w:rtl/>
        </w:rPr>
        <w:t>), תשע"ב-2012; תחילתו ביום 16.6.2012.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B95" w:rsidRDefault="009F4B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F4B95" w:rsidRDefault="009F4B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4B95" w:rsidRDefault="009F4B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B95" w:rsidRDefault="009F4B9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שיפוט בבתי משפט לעניינים מקומיים (הוראת שעה) (יהודה והשומרון) (מס' 1564), תשס"ה-2005</w:t>
    </w:r>
  </w:p>
  <w:p w:rsidR="009F4B95" w:rsidRDefault="009F4B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4B95" w:rsidRDefault="009F4B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899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2971"/>
    <w:rsid w:val="00105C2B"/>
    <w:rsid w:val="00124FA4"/>
    <w:rsid w:val="00191B07"/>
    <w:rsid w:val="0020204A"/>
    <w:rsid w:val="0021352B"/>
    <w:rsid w:val="002E67A9"/>
    <w:rsid w:val="004A3609"/>
    <w:rsid w:val="004D17DF"/>
    <w:rsid w:val="00534418"/>
    <w:rsid w:val="00574A99"/>
    <w:rsid w:val="00692971"/>
    <w:rsid w:val="00713A65"/>
    <w:rsid w:val="008B584B"/>
    <w:rsid w:val="009F2705"/>
    <w:rsid w:val="009F4B95"/>
    <w:rsid w:val="00E87E9B"/>
    <w:rsid w:val="00FB0E05"/>
    <w:rsid w:val="00FC55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CBAD9E5-83DE-4396-8B8D-F3F291E6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39.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70/zava-0234.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39.pdf" TargetMode="External"/><Relationship Id="rId2" Type="http://schemas.openxmlformats.org/officeDocument/2006/relationships/hyperlink" Target="http://www.nevo.co.il/Law_word/law70/zava-0234.pdf" TargetMode="External"/><Relationship Id="rId1" Type="http://schemas.openxmlformats.org/officeDocument/2006/relationships/hyperlink" Target="http://www.nevo.co.il/Law_word/law70/ZAVA-02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3844</CharactersWithSpaces>
  <SharedDoc>false</SharedDoc>
  <HLinks>
    <vt:vector size="84" baseType="variant">
      <vt:variant>
        <vt:i4>393283</vt:i4>
      </vt:variant>
      <vt:variant>
        <vt:i4>54</vt:i4>
      </vt:variant>
      <vt:variant>
        <vt:i4>0</vt:i4>
      </vt:variant>
      <vt:variant>
        <vt:i4>5</vt:i4>
      </vt:variant>
      <vt:variant>
        <vt:lpwstr>http://www.nevo.co.il/advertisements/nevo-100.doc</vt:lpwstr>
      </vt:variant>
      <vt:variant>
        <vt:lpwstr/>
      </vt:variant>
      <vt:variant>
        <vt:i4>1441914</vt:i4>
      </vt:variant>
      <vt:variant>
        <vt:i4>51</vt:i4>
      </vt:variant>
      <vt:variant>
        <vt:i4>0</vt:i4>
      </vt:variant>
      <vt:variant>
        <vt:i4>5</vt:i4>
      </vt:variant>
      <vt:variant>
        <vt:lpwstr>http://www.nevo.co.il/Law_word/law70/zava-0239.pdf</vt:lpwstr>
      </vt:variant>
      <vt:variant>
        <vt:lpwstr/>
      </vt:variant>
      <vt:variant>
        <vt:i4>1769594</vt:i4>
      </vt:variant>
      <vt:variant>
        <vt:i4>48</vt:i4>
      </vt:variant>
      <vt:variant>
        <vt:i4>0</vt:i4>
      </vt:variant>
      <vt:variant>
        <vt:i4>5</vt:i4>
      </vt:variant>
      <vt:variant>
        <vt:lpwstr>http://www.nevo.co.il/Law_word/law70/zava-0234.pdf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1441914</vt:i4>
      </vt:variant>
      <vt:variant>
        <vt:i4>6</vt:i4>
      </vt:variant>
      <vt:variant>
        <vt:i4>0</vt:i4>
      </vt:variant>
      <vt:variant>
        <vt:i4>5</vt:i4>
      </vt:variant>
      <vt:variant>
        <vt:lpwstr>http://www.nevo.co.il/Law_word/law70/zava-0239.pdf</vt:lpwstr>
      </vt:variant>
      <vt:variant>
        <vt:lpwstr/>
      </vt:variant>
      <vt:variant>
        <vt:i4>1769594</vt:i4>
      </vt:variant>
      <vt:variant>
        <vt:i4>3</vt:i4>
      </vt:variant>
      <vt:variant>
        <vt:i4>0</vt:i4>
      </vt:variant>
      <vt:variant>
        <vt:i4>5</vt:i4>
      </vt:variant>
      <vt:variant>
        <vt:lpwstr>http://www.nevo.co.il/Law_word/law70/zava-0234.pdf</vt:lpwstr>
      </vt:variant>
      <vt:variant>
        <vt:lpwstr/>
      </vt:variant>
      <vt:variant>
        <vt:i4>2031736</vt:i4>
      </vt:variant>
      <vt:variant>
        <vt:i4>0</vt:i4>
      </vt:variant>
      <vt:variant>
        <vt:i4>0</vt:i4>
      </vt:variant>
      <vt:variant>
        <vt:i4>5</vt:i4>
      </vt:variant>
      <vt:variant>
        <vt:lpwstr>http://www.nevo.co.il/Law_word/law70/ZAVA-0210.pdf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שיפוט בבתי משפט לעניינים מקומיים (הוראת שעה) (יהודה והשומרון) (מס' 1564), תשס"ה-2005</vt:lpwstr>
  </property>
  <property fmtid="{D5CDD505-2E9C-101B-9397-08002B2CF9AE}" pid="4" name="LAWNUMBER">
    <vt:lpwstr>0004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http://www.nevo.co.il/Law_word/law70/zava-0239.pdf;‎קובץ המנשרים #מס' 239 #מחודש נובמבר ‏‏2012 עמ' 6689 – תיקון מס' 2 בסעיף 39 לצו בדבר ההתגוננות האזרחית (יהודה והשומרון) (מס' 1699), תשע"ב-‏‏2012; תחילתו ביום 16.6.2012‏</vt:lpwstr>
  </property>
</Properties>
</file>