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DBAE" w14:textId="77777777" w:rsidR="002053AF" w:rsidRDefault="002053AF">
      <w:pPr>
        <w:pStyle w:val="big-header"/>
        <w:ind w:left="0" w:right="1134"/>
        <w:rPr>
          <w:rFonts w:cs="FrankRuehl" w:hint="cs"/>
          <w:sz w:val="32"/>
          <w:rtl/>
        </w:rPr>
      </w:pPr>
      <w:r>
        <w:rPr>
          <w:rFonts w:cs="FrankRuehl" w:hint="cs"/>
          <w:sz w:val="32"/>
          <w:rtl/>
        </w:rPr>
        <w:t>יהודה והשומרון</w:t>
      </w:r>
    </w:p>
    <w:p w14:paraId="2A968C16" w14:textId="77777777" w:rsidR="002053AF" w:rsidRDefault="00CE42E9" w:rsidP="00171444">
      <w:pPr>
        <w:pStyle w:val="big-header"/>
        <w:ind w:left="0" w:right="1134"/>
        <w:rPr>
          <w:rFonts w:cs="FrankRuehl" w:hint="cs"/>
          <w:sz w:val="32"/>
          <w:rtl/>
        </w:rPr>
      </w:pPr>
      <w:r>
        <w:rPr>
          <w:rFonts w:cs="FrankRuehl" w:hint="cs"/>
          <w:sz w:val="32"/>
          <w:rtl/>
        </w:rPr>
        <w:t xml:space="preserve">תקנות </w:t>
      </w:r>
      <w:r w:rsidR="00D8080E">
        <w:rPr>
          <w:rFonts w:cs="FrankRuehl" w:hint="cs"/>
          <w:sz w:val="32"/>
          <w:rtl/>
        </w:rPr>
        <w:t>בדבר הוראות ביטחון (סדרי עבודתה של הוועדה לבחינת תפיסת טובין</w:t>
      </w:r>
      <w:r>
        <w:rPr>
          <w:rFonts w:cs="FrankRuehl" w:hint="cs"/>
          <w:sz w:val="32"/>
          <w:rtl/>
        </w:rPr>
        <w:t>) (יהודה והשומרון), תשע"ז-201</w:t>
      </w:r>
      <w:r w:rsidR="00D8080E">
        <w:rPr>
          <w:rFonts w:cs="FrankRuehl" w:hint="cs"/>
          <w:sz w:val="32"/>
          <w:rtl/>
        </w:rPr>
        <w:t>7</w:t>
      </w:r>
    </w:p>
    <w:p w14:paraId="6C88F4B7"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90AD7" w:rsidRPr="00D90AD7" w14:paraId="4EB5A6C5" w14:textId="77777777" w:rsidTr="00D90AD7">
        <w:tblPrEx>
          <w:tblCellMar>
            <w:top w:w="0" w:type="dxa"/>
            <w:bottom w:w="0" w:type="dxa"/>
          </w:tblCellMar>
        </w:tblPrEx>
        <w:tc>
          <w:tcPr>
            <w:tcW w:w="1247" w:type="dxa"/>
          </w:tcPr>
          <w:p w14:paraId="5D2110AE" w14:textId="77777777" w:rsidR="00D90AD7" w:rsidRPr="00D90AD7" w:rsidRDefault="00D90AD7" w:rsidP="00D90AD7">
            <w:pPr>
              <w:rPr>
                <w:rFonts w:cs="Frankruhel" w:hint="cs"/>
                <w:rtl/>
              </w:rPr>
            </w:pPr>
            <w:r>
              <w:rPr>
                <w:rtl/>
              </w:rPr>
              <w:t xml:space="preserve">סעיף 1 </w:t>
            </w:r>
          </w:p>
        </w:tc>
        <w:tc>
          <w:tcPr>
            <w:tcW w:w="5669" w:type="dxa"/>
          </w:tcPr>
          <w:p w14:paraId="5889DB52" w14:textId="77777777" w:rsidR="00D90AD7" w:rsidRPr="00D90AD7" w:rsidRDefault="00D90AD7" w:rsidP="00D90AD7">
            <w:pPr>
              <w:rPr>
                <w:rFonts w:cs="Frankruhel" w:hint="cs"/>
                <w:rtl/>
              </w:rPr>
            </w:pPr>
            <w:r>
              <w:rPr>
                <w:rtl/>
              </w:rPr>
              <w:t>הגדרות</w:t>
            </w:r>
          </w:p>
        </w:tc>
        <w:tc>
          <w:tcPr>
            <w:tcW w:w="567" w:type="dxa"/>
          </w:tcPr>
          <w:p w14:paraId="3BAFB926" w14:textId="77777777" w:rsidR="00D90AD7" w:rsidRPr="00D90AD7" w:rsidRDefault="00D90AD7" w:rsidP="00D90AD7">
            <w:pPr>
              <w:rPr>
                <w:rStyle w:val="Hyperlink"/>
                <w:rFonts w:hint="cs"/>
                <w:rtl/>
              </w:rPr>
            </w:pPr>
            <w:hyperlink w:anchor="Seif1" w:tooltip="הגדרות" w:history="1">
              <w:r w:rsidRPr="00D90AD7">
                <w:rPr>
                  <w:rStyle w:val="Hyperlink"/>
                </w:rPr>
                <w:t>Go</w:t>
              </w:r>
            </w:hyperlink>
          </w:p>
        </w:tc>
        <w:tc>
          <w:tcPr>
            <w:tcW w:w="850" w:type="dxa"/>
          </w:tcPr>
          <w:p w14:paraId="5F5EB0E8" w14:textId="77777777" w:rsidR="00D90AD7" w:rsidRPr="00D90AD7" w:rsidRDefault="00D90AD7" w:rsidP="00D90A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90AD7" w:rsidRPr="00D90AD7" w14:paraId="134D47ED" w14:textId="77777777" w:rsidTr="00D90AD7">
        <w:tblPrEx>
          <w:tblCellMar>
            <w:top w:w="0" w:type="dxa"/>
            <w:bottom w:w="0" w:type="dxa"/>
          </w:tblCellMar>
        </w:tblPrEx>
        <w:tc>
          <w:tcPr>
            <w:tcW w:w="1247" w:type="dxa"/>
          </w:tcPr>
          <w:p w14:paraId="29CBC263" w14:textId="77777777" w:rsidR="00D90AD7" w:rsidRPr="00D90AD7" w:rsidRDefault="00D90AD7" w:rsidP="00D90AD7">
            <w:pPr>
              <w:rPr>
                <w:rFonts w:cs="Frankruhel" w:hint="cs"/>
                <w:rtl/>
              </w:rPr>
            </w:pPr>
            <w:r>
              <w:rPr>
                <w:rtl/>
              </w:rPr>
              <w:t xml:space="preserve">סעיף 2 </w:t>
            </w:r>
          </w:p>
        </w:tc>
        <w:tc>
          <w:tcPr>
            <w:tcW w:w="5669" w:type="dxa"/>
          </w:tcPr>
          <w:p w14:paraId="08ED1C3F" w14:textId="77777777" w:rsidR="00D90AD7" w:rsidRPr="00D90AD7" w:rsidRDefault="00D90AD7" w:rsidP="00D90AD7">
            <w:pPr>
              <w:rPr>
                <w:rFonts w:cs="Frankruhel" w:hint="cs"/>
                <w:rtl/>
              </w:rPr>
            </w:pPr>
            <w:r>
              <w:rPr>
                <w:rtl/>
              </w:rPr>
              <w:t>אסמכתא בדבר תפיסת טובין</w:t>
            </w:r>
          </w:p>
        </w:tc>
        <w:tc>
          <w:tcPr>
            <w:tcW w:w="567" w:type="dxa"/>
          </w:tcPr>
          <w:p w14:paraId="0B614CEB" w14:textId="77777777" w:rsidR="00D90AD7" w:rsidRPr="00D90AD7" w:rsidRDefault="00D90AD7" w:rsidP="00D90AD7">
            <w:pPr>
              <w:rPr>
                <w:rStyle w:val="Hyperlink"/>
                <w:rFonts w:hint="cs"/>
                <w:rtl/>
              </w:rPr>
            </w:pPr>
            <w:hyperlink w:anchor="Seif7" w:tooltip="אסמכתא בדבר תפיסת טובין" w:history="1">
              <w:r w:rsidRPr="00D90AD7">
                <w:rPr>
                  <w:rStyle w:val="Hyperlink"/>
                </w:rPr>
                <w:t>Go</w:t>
              </w:r>
            </w:hyperlink>
          </w:p>
        </w:tc>
        <w:tc>
          <w:tcPr>
            <w:tcW w:w="850" w:type="dxa"/>
          </w:tcPr>
          <w:p w14:paraId="2ED09768" w14:textId="77777777" w:rsidR="00D90AD7" w:rsidRPr="00D90AD7" w:rsidRDefault="00D90AD7" w:rsidP="00D90A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D90AD7" w:rsidRPr="00D90AD7" w14:paraId="67676592" w14:textId="77777777" w:rsidTr="00D90AD7">
        <w:tblPrEx>
          <w:tblCellMar>
            <w:top w:w="0" w:type="dxa"/>
            <w:bottom w:w="0" w:type="dxa"/>
          </w:tblCellMar>
        </w:tblPrEx>
        <w:tc>
          <w:tcPr>
            <w:tcW w:w="1247" w:type="dxa"/>
          </w:tcPr>
          <w:p w14:paraId="16CD0C18" w14:textId="77777777" w:rsidR="00D90AD7" w:rsidRPr="00D90AD7" w:rsidRDefault="00D90AD7" w:rsidP="00D90AD7">
            <w:pPr>
              <w:rPr>
                <w:rFonts w:cs="Frankruhel" w:hint="cs"/>
                <w:rtl/>
              </w:rPr>
            </w:pPr>
            <w:r>
              <w:rPr>
                <w:rtl/>
              </w:rPr>
              <w:t xml:space="preserve">סעיף 3 </w:t>
            </w:r>
          </w:p>
        </w:tc>
        <w:tc>
          <w:tcPr>
            <w:tcW w:w="5669" w:type="dxa"/>
          </w:tcPr>
          <w:p w14:paraId="5355A2A6" w14:textId="77777777" w:rsidR="00D90AD7" w:rsidRPr="00D90AD7" w:rsidRDefault="00D90AD7" w:rsidP="00D90AD7">
            <w:pPr>
              <w:rPr>
                <w:rFonts w:cs="Frankruhel" w:hint="cs"/>
                <w:rtl/>
              </w:rPr>
            </w:pPr>
            <w:r>
              <w:rPr>
                <w:rtl/>
              </w:rPr>
              <w:t>זכות טיעון בפני הוועדה</w:t>
            </w:r>
          </w:p>
        </w:tc>
        <w:tc>
          <w:tcPr>
            <w:tcW w:w="567" w:type="dxa"/>
          </w:tcPr>
          <w:p w14:paraId="174DA169" w14:textId="77777777" w:rsidR="00D90AD7" w:rsidRPr="00D90AD7" w:rsidRDefault="00D90AD7" w:rsidP="00D90AD7">
            <w:pPr>
              <w:rPr>
                <w:rStyle w:val="Hyperlink"/>
                <w:rFonts w:hint="cs"/>
                <w:rtl/>
              </w:rPr>
            </w:pPr>
            <w:hyperlink w:anchor="Seif8" w:tooltip="זכות טיעון בפני הוועדה" w:history="1">
              <w:r w:rsidRPr="00D90AD7">
                <w:rPr>
                  <w:rStyle w:val="Hyperlink"/>
                </w:rPr>
                <w:t>Go</w:t>
              </w:r>
            </w:hyperlink>
          </w:p>
        </w:tc>
        <w:tc>
          <w:tcPr>
            <w:tcW w:w="850" w:type="dxa"/>
          </w:tcPr>
          <w:p w14:paraId="1835EA3A" w14:textId="77777777" w:rsidR="00D90AD7" w:rsidRPr="00D90AD7" w:rsidRDefault="00D90AD7" w:rsidP="00D90A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D90AD7" w:rsidRPr="00D90AD7" w14:paraId="195B5A56" w14:textId="77777777" w:rsidTr="00D90AD7">
        <w:tblPrEx>
          <w:tblCellMar>
            <w:top w:w="0" w:type="dxa"/>
            <w:bottom w:w="0" w:type="dxa"/>
          </w:tblCellMar>
        </w:tblPrEx>
        <w:tc>
          <w:tcPr>
            <w:tcW w:w="1247" w:type="dxa"/>
          </w:tcPr>
          <w:p w14:paraId="04B07C37" w14:textId="77777777" w:rsidR="00D90AD7" w:rsidRPr="00D90AD7" w:rsidRDefault="00D90AD7" w:rsidP="00D90AD7">
            <w:pPr>
              <w:rPr>
                <w:rFonts w:cs="Frankruhel" w:hint="cs"/>
                <w:rtl/>
              </w:rPr>
            </w:pPr>
            <w:r>
              <w:rPr>
                <w:rtl/>
              </w:rPr>
              <w:t xml:space="preserve">סעיף 4 </w:t>
            </w:r>
          </w:p>
        </w:tc>
        <w:tc>
          <w:tcPr>
            <w:tcW w:w="5669" w:type="dxa"/>
          </w:tcPr>
          <w:p w14:paraId="019A0C39" w14:textId="77777777" w:rsidR="00D90AD7" w:rsidRPr="00D90AD7" w:rsidRDefault="00D90AD7" w:rsidP="00D90AD7">
            <w:pPr>
              <w:rPr>
                <w:rFonts w:cs="Frankruhel" w:hint="cs"/>
                <w:rtl/>
              </w:rPr>
            </w:pPr>
            <w:r>
              <w:rPr>
                <w:rtl/>
              </w:rPr>
              <w:t>סדרי הדין בוועדה</w:t>
            </w:r>
          </w:p>
        </w:tc>
        <w:tc>
          <w:tcPr>
            <w:tcW w:w="567" w:type="dxa"/>
          </w:tcPr>
          <w:p w14:paraId="0DD389B4" w14:textId="77777777" w:rsidR="00D90AD7" w:rsidRPr="00D90AD7" w:rsidRDefault="00D90AD7" w:rsidP="00D90AD7">
            <w:pPr>
              <w:rPr>
                <w:rStyle w:val="Hyperlink"/>
                <w:rFonts w:hint="cs"/>
                <w:rtl/>
              </w:rPr>
            </w:pPr>
            <w:hyperlink w:anchor="Seif4" w:tooltip="סדרי הדין בוועדה" w:history="1">
              <w:r w:rsidRPr="00D90AD7">
                <w:rPr>
                  <w:rStyle w:val="Hyperlink"/>
                </w:rPr>
                <w:t>Go</w:t>
              </w:r>
            </w:hyperlink>
          </w:p>
        </w:tc>
        <w:tc>
          <w:tcPr>
            <w:tcW w:w="850" w:type="dxa"/>
          </w:tcPr>
          <w:p w14:paraId="07566B34" w14:textId="77777777" w:rsidR="00D90AD7" w:rsidRPr="00D90AD7" w:rsidRDefault="00D90AD7" w:rsidP="00D90A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90AD7" w:rsidRPr="00D90AD7" w14:paraId="065C0C44" w14:textId="77777777" w:rsidTr="00D90AD7">
        <w:tblPrEx>
          <w:tblCellMar>
            <w:top w:w="0" w:type="dxa"/>
            <w:bottom w:w="0" w:type="dxa"/>
          </w:tblCellMar>
        </w:tblPrEx>
        <w:tc>
          <w:tcPr>
            <w:tcW w:w="1247" w:type="dxa"/>
          </w:tcPr>
          <w:p w14:paraId="60A5460E" w14:textId="77777777" w:rsidR="00D90AD7" w:rsidRPr="00D90AD7" w:rsidRDefault="00D90AD7" w:rsidP="00D90AD7">
            <w:pPr>
              <w:rPr>
                <w:rFonts w:cs="Frankruhel" w:hint="cs"/>
                <w:rtl/>
              </w:rPr>
            </w:pPr>
            <w:r>
              <w:rPr>
                <w:rtl/>
              </w:rPr>
              <w:t xml:space="preserve">סעיף 5 </w:t>
            </w:r>
          </w:p>
        </w:tc>
        <w:tc>
          <w:tcPr>
            <w:tcW w:w="5669" w:type="dxa"/>
          </w:tcPr>
          <w:p w14:paraId="3F7D811B" w14:textId="77777777" w:rsidR="00D90AD7" w:rsidRPr="00D90AD7" w:rsidRDefault="00D90AD7" w:rsidP="00D90AD7">
            <w:pPr>
              <w:rPr>
                <w:rFonts w:cs="Frankruhel" w:hint="cs"/>
                <w:rtl/>
              </w:rPr>
            </w:pPr>
            <w:r>
              <w:rPr>
                <w:rtl/>
              </w:rPr>
              <w:t>שמירת הטובין</w:t>
            </w:r>
          </w:p>
        </w:tc>
        <w:tc>
          <w:tcPr>
            <w:tcW w:w="567" w:type="dxa"/>
          </w:tcPr>
          <w:p w14:paraId="4CCECE43" w14:textId="77777777" w:rsidR="00D90AD7" w:rsidRPr="00D90AD7" w:rsidRDefault="00D90AD7" w:rsidP="00D90AD7">
            <w:pPr>
              <w:rPr>
                <w:rStyle w:val="Hyperlink"/>
                <w:rFonts w:hint="cs"/>
                <w:rtl/>
              </w:rPr>
            </w:pPr>
            <w:hyperlink w:anchor="Seif5" w:tooltip="שמירת הטובין" w:history="1">
              <w:r w:rsidRPr="00D90AD7">
                <w:rPr>
                  <w:rStyle w:val="Hyperlink"/>
                </w:rPr>
                <w:t>Go</w:t>
              </w:r>
            </w:hyperlink>
          </w:p>
        </w:tc>
        <w:tc>
          <w:tcPr>
            <w:tcW w:w="850" w:type="dxa"/>
          </w:tcPr>
          <w:p w14:paraId="34CBB7EF" w14:textId="77777777" w:rsidR="00D90AD7" w:rsidRPr="00D90AD7" w:rsidRDefault="00D90AD7" w:rsidP="00D90A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D90AD7" w:rsidRPr="00D90AD7" w14:paraId="5075121A" w14:textId="77777777" w:rsidTr="00D90AD7">
        <w:tblPrEx>
          <w:tblCellMar>
            <w:top w:w="0" w:type="dxa"/>
            <w:bottom w:w="0" w:type="dxa"/>
          </w:tblCellMar>
        </w:tblPrEx>
        <w:tc>
          <w:tcPr>
            <w:tcW w:w="1247" w:type="dxa"/>
          </w:tcPr>
          <w:p w14:paraId="144F4846" w14:textId="77777777" w:rsidR="00D90AD7" w:rsidRPr="00D90AD7" w:rsidRDefault="00D90AD7" w:rsidP="00D90AD7">
            <w:pPr>
              <w:rPr>
                <w:rFonts w:cs="Frankruhel" w:hint="cs"/>
                <w:rtl/>
              </w:rPr>
            </w:pPr>
            <w:r>
              <w:rPr>
                <w:rtl/>
              </w:rPr>
              <w:t xml:space="preserve">סעיף 6 </w:t>
            </w:r>
          </w:p>
        </w:tc>
        <w:tc>
          <w:tcPr>
            <w:tcW w:w="5669" w:type="dxa"/>
          </w:tcPr>
          <w:p w14:paraId="4094686A" w14:textId="77777777" w:rsidR="00D90AD7" w:rsidRPr="00D90AD7" w:rsidRDefault="00D90AD7" w:rsidP="00D90AD7">
            <w:pPr>
              <w:rPr>
                <w:rFonts w:cs="Frankruhel" w:hint="cs"/>
                <w:rtl/>
              </w:rPr>
            </w:pPr>
            <w:r>
              <w:rPr>
                <w:rtl/>
              </w:rPr>
              <w:t>החלטת הוועדה</w:t>
            </w:r>
          </w:p>
        </w:tc>
        <w:tc>
          <w:tcPr>
            <w:tcW w:w="567" w:type="dxa"/>
          </w:tcPr>
          <w:p w14:paraId="1876932F" w14:textId="77777777" w:rsidR="00D90AD7" w:rsidRPr="00D90AD7" w:rsidRDefault="00D90AD7" w:rsidP="00D90AD7">
            <w:pPr>
              <w:rPr>
                <w:rStyle w:val="Hyperlink"/>
                <w:rFonts w:hint="cs"/>
                <w:rtl/>
              </w:rPr>
            </w:pPr>
            <w:hyperlink w:anchor="Seif6" w:tooltip="החלטת הוועדה" w:history="1">
              <w:r w:rsidRPr="00D90AD7">
                <w:rPr>
                  <w:rStyle w:val="Hyperlink"/>
                </w:rPr>
                <w:t>Go</w:t>
              </w:r>
            </w:hyperlink>
          </w:p>
        </w:tc>
        <w:tc>
          <w:tcPr>
            <w:tcW w:w="850" w:type="dxa"/>
          </w:tcPr>
          <w:p w14:paraId="17F94266" w14:textId="77777777" w:rsidR="00D90AD7" w:rsidRPr="00D90AD7" w:rsidRDefault="00D90AD7" w:rsidP="00D90A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90AD7" w:rsidRPr="00D90AD7" w14:paraId="6A203E7B" w14:textId="77777777" w:rsidTr="00D90AD7">
        <w:tblPrEx>
          <w:tblCellMar>
            <w:top w:w="0" w:type="dxa"/>
            <w:bottom w:w="0" w:type="dxa"/>
          </w:tblCellMar>
        </w:tblPrEx>
        <w:tc>
          <w:tcPr>
            <w:tcW w:w="1247" w:type="dxa"/>
          </w:tcPr>
          <w:p w14:paraId="3644617D" w14:textId="77777777" w:rsidR="00D90AD7" w:rsidRPr="00D90AD7" w:rsidRDefault="00D90AD7" w:rsidP="00D90AD7">
            <w:pPr>
              <w:rPr>
                <w:rFonts w:cs="Frankruhel" w:hint="cs"/>
                <w:rtl/>
              </w:rPr>
            </w:pPr>
            <w:r>
              <w:rPr>
                <w:rtl/>
              </w:rPr>
              <w:t xml:space="preserve">סעיף 7 </w:t>
            </w:r>
          </w:p>
        </w:tc>
        <w:tc>
          <w:tcPr>
            <w:tcW w:w="5669" w:type="dxa"/>
          </w:tcPr>
          <w:p w14:paraId="785CBD6A" w14:textId="77777777" w:rsidR="00D90AD7" w:rsidRPr="00D90AD7" w:rsidRDefault="00D90AD7" w:rsidP="00D90AD7">
            <w:pPr>
              <w:rPr>
                <w:rFonts w:cs="Frankruhel" w:hint="cs"/>
                <w:rtl/>
              </w:rPr>
            </w:pPr>
            <w:r>
              <w:rPr>
                <w:rtl/>
              </w:rPr>
              <w:t>העדר השגה</w:t>
            </w:r>
          </w:p>
        </w:tc>
        <w:tc>
          <w:tcPr>
            <w:tcW w:w="567" w:type="dxa"/>
          </w:tcPr>
          <w:p w14:paraId="18DB96E1" w14:textId="77777777" w:rsidR="00D90AD7" w:rsidRPr="00D90AD7" w:rsidRDefault="00D90AD7" w:rsidP="00D90AD7">
            <w:pPr>
              <w:rPr>
                <w:rStyle w:val="Hyperlink"/>
                <w:rFonts w:hint="cs"/>
                <w:rtl/>
              </w:rPr>
            </w:pPr>
            <w:hyperlink w:anchor="Seif2" w:tooltip="העדר השגה" w:history="1">
              <w:r w:rsidRPr="00D90AD7">
                <w:rPr>
                  <w:rStyle w:val="Hyperlink"/>
                </w:rPr>
                <w:t>Go</w:t>
              </w:r>
            </w:hyperlink>
          </w:p>
        </w:tc>
        <w:tc>
          <w:tcPr>
            <w:tcW w:w="850" w:type="dxa"/>
          </w:tcPr>
          <w:p w14:paraId="3B37E385" w14:textId="77777777" w:rsidR="00D90AD7" w:rsidRPr="00D90AD7" w:rsidRDefault="00D90AD7" w:rsidP="00D90A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D90AD7" w:rsidRPr="00D90AD7" w14:paraId="553252BF" w14:textId="77777777" w:rsidTr="00D90AD7">
        <w:tblPrEx>
          <w:tblCellMar>
            <w:top w:w="0" w:type="dxa"/>
            <w:bottom w:w="0" w:type="dxa"/>
          </w:tblCellMar>
        </w:tblPrEx>
        <w:tc>
          <w:tcPr>
            <w:tcW w:w="1247" w:type="dxa"/>
          </w:tcPr>
          <w:p w14:paraId="7209D45D" w14:textId="77777777" w:rsidR="00D90AD7" w:rsidRPr="00D90AD7" w:rsidRDefault="00D90AD7" w:rsidP="00D90AD7">
            <w:pPr>
              <w:rPr>
                <w:rFonts w:cs="Frankruhel" w:hint="cs"/>
                <w:rtl/>
              </w:rPr>
            </w:pPr>
            <w:r>
              <w:rPr>
                <w:rtl/>
              </w:rPr>
              <w:t xml:space="preserve">סעיף 8 </w:t>
            </w:r>
          </w:p>
        </w:tc>
        <w:tc>
          <w:tcPr>
            <w:tcW w:w="5669" w:type="dxa"/>
          </w:tcPr>
          <w:p w14:paraId="7E24F243" w14:textId="77777777" w:rsidR="00D90AD7" w:rsidRPr="00D90AD7" w:rsidRDefault="00D90AD7" w:rsidP="00D90AD7">
            <w:pPr>
              <w:rPr>
                <w:rFonts w:cs="Frankruhel" w:hint="cs"/>
                <w:rtl/>
              </w:rPr>
            </w:pPr>
            <w:r>
              <w:rPr>
                <w:rtl/>
              </w:rPr>
              <w:t>ריבית והצמדה</w:t>
            </w:r>
          </w:p>
        </w:tc>
        <w:tc>
          <w:tcPr>
            <w:tcW w:w="567" w:type="dxa"/>
          </w:tcPr>
          <w:p w14:paraId="6A6EE58E" w14:textId="77777777" w:rsidR="00D90AD7" w:rsidRPr="00D90AD7" w:rsidRDefault="00D90AD7" w:rsidP="00D90AD7">
            <w:pPr>
              <w:rPr>
                <w:rStyle w:val="Hyperlink"/>
                <w:rFonts w:hint="cs"/>
                <w:rtl/>
              </w:rPr>
            </w:pPr>
            <w:hyperlink w:anchor="Seif3" w:tooltip="ריבית והצמדה" w:history="1">
              <w:r w:rsidRPr="00D90AD7">
                <w:rPr>
                  <w:rStyle w:val="Hyperlink"/>
                </w:rPr>
                <w:t>Go</w:t>
              </w:r>
            </w:hyperlink>
          </w:p>
        </w:tc>
        <w:tc>
          <w:tcPr>
            <w:tcW w:w="850" w:type="dxa"/>
          </w:tcPr>
          <w:p w14:paraId="3B69641C" w14:textId="77777777" w:rsidR="00D90AD7" w:rsidRPr="00D90AD7" w:rsidRDefault="00D90AD7" w:rsidP="00D90A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D90AD7" w:rsidRPr="00D90AD7" w14:paraId="31D6C958" w14:textId="77777777" w:rsidTr="00D90AD7">
        <w:tblPrEx>
          <w:tblCellMar>
            <w:top w:w="0" w:type="dxa"/>
            <w:bottom w:w="0" w:type="dxa"/>
          </w:tblCellMar>
        </w:tblPrEx>
        <w:tc>
          <w:tcPr>
            <w:tcW w:w="1247" w:type="dxa"/>
          </w:tcPr>
          <w:p w14:paraId="069D5BA8" w14:textId="77777777" w:rsidR="00D90AD7" w:rsidRPr="00D90AD7" w:rsidRDefault="00D90AD7" w:rsidP="00D90AD7">
            <w:pPr>
              <w:rPr>
                <w:rFonts w:cs="Frankruhel" w:hint="cs"/>
                <w:rtl/>
              </w:rPr>
            </w:pPr>
            <w:r>
              <w:rPr>
                <w:rtl/>
              </w:rPr>
              <w:t xml:space="preserve">סעיף 9 </w:t>
            </w:r>
          </w:p>
        </w:tc>
        <w:tc>
          <w:tcPr>
            <w:tcW w:w="5669" w:type="dxa"/>
          </w:tcPr>
          <w:p w14:paraId="5DD1EF95" w14:textId="77777777" w:rsidR="00D90AD7" w:rsidRPr="00D90AD7" w:rsidRDefault="00D90AD7" w:rsidP="00D90AD7">
            <w:pPr>
              <w:rPr>
                <w:rFonts w:cs="Frankruhel" w:hint="cs"/>
                <w:rtl/>
              </w:rPr>
            </w:pPr>
            <w:r>
              <w:rPr>
                <w:rtl/>
              </w:rPr>
              <w:t>תחילה</w:t>
            </w:r>
          </w:p>
        </w:tc>
        <w:tc>
          <w:tcPr>
            <w:tcW w:w="567" w:type="dxa"/>
          </w:tcPr>
          <w:p w14:paraId="59E0FFC5" w14:textId="77777777" w:rsidR="00D90AD7" w:rsidRPr="00D90AD7" w:rsidRDefault="00D90AD7" w:rsidP="00D90AD7">
            <w:pPr>
              <w:rPr>
                <w:rStyle w:val="Hyperlink"/>
                <w:rFonts w:hint="cs"/>
                <w:rtl/>
              </w:rPr>
            </w:pPr>
            <w:hyperlink w:anchor="Seif9" w:tooltip="תחילה" w:history="1">
              <w:r w:rsidRPr="00D90AD7">
                <w:rPr>
                  <w:rStyle w:val="Hyperlink"/>
                </w:rPr>
                <w:t>Go</w:t>
              </w:r>
            </w:hyperlink>
          </w:p>
        </w:tc>
        <w:tc>
          <w:tcPr>
            <w:tcW w:w="850" w:type="dxa"/>
          </w:tcPr>
          <w:p w14:paraId="27C0FDD6" w14:textId="77777777" w:rsidR="00D90AD7" w:rsidRPr="00D90AD7" w:rsidRDefault="00D90AD7" w:rsidP="00D90A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D90AD7" w:rsidRPr="00D90AD7" w14:paraId="2BBCBAB9" w14:textId="77777777" w:rsidTr="00D90AD7">
        <w:tblPrEx>
          <w:tblCellMar>
            <w:top w:w="0" w:type="dxa"/>
            <w:bottom w:w="0" w:type="dxa"/>
          </w:tblCellMar>
        </w:tblPrEx>
        <w:tc>
          <w:tcPr>
            <w:tcW w:w="1247" w:type="dxa"/>
          </w:tcPr>
          <w:p w14:paraId="17F6FD34" w14:textId="77777777" w:rsidR="00D90AD7" w:rsidRPr="00D90AD7" w:rsidRDefault="00D90AD7" w:rsidP="00D90AD7">
            <w:pPr>
              <w:rPr>
                <w:rFonts w:cs="Frankruhel" w:hint="cs"/>
                <w:rtl/>
              </w:rPr>
            </w:pPr>
            <w:r>
              <w:rPr>
                <w:rtl/>
              </w:rPr>
              <w:t xml:space="preserve">סעיף 10 </w:t>
            </w:r>
          </w:p>
        </w:tc>
        <w:tc>
          <w:tcPr>
            <w:tcW w:w="5669" w:type="dxa"/>
          </w:tcPr>
          <w:p w14:paraId="795C6B42" w14:textId="77777777" w:rsidR="00D90AD7" w:rsidRPr="00D90AD7" w:rsidRDefault="00D90AD7" w:rsidP="00D90AD7">
            <w:pPr>
              <w:rPr>
                <w:rFonts w:cs="Frankruhel" w:hint="cs"/>
                <w:rtl/>
              </w:rPr>
            </w:pPr>
            <w:r>
              <w:rPr>
                <w:rtl/>
              </w:rPr>
              <w:t>הוראת מעבר</w:t>
            </w:r>
          </w:p>
        </w:tc>
        <w:tc>
          <w:tcPr>
            <w:tcW w:w="567" w:type="dxa"/>
          </w:tcPr>
          <w:p w14:paraId="698BCC18" w14:textId="77777777" w:rsidR="00D90AD7" w:rsidRPr="00D90AD7" w:rsidRDefault="00D90AD7" w:rsidP="00D90AD7">
            <w:pPr>
              <w:rPr>
                <w:rStyle w:val="Hyperlink"/>
                <w:rFonts w:hint="cs"/>
                <w:rtl/>
              </w:rPr>
            </w:pPr>
            <w:hyperlink w:anchor="Seif10" w:tooltip="הוראת מעבר" w:history="1">
              <w:r w:rsidRPr="00D90AD7">
                <w:rPr>
                  <w:rStyle w:val="Hyperlink"/>
                </w:rPr>
                <w:t>Go</w:t>
              </w:r>
            </w:hyperlink>
          </w:p>
        </w:tc>
        <w:tc>
          <w:tcPr>
            <w:tcW w:w="850" w:type="dxa"/>
          </w:tcPr>
          <w:p w14:paraId="33219E25" w14:textId="77777777" w:rsidR="00D90AD7" w:rsidRPr="00D90AD7" w:rsidRDefault="00D90AD7" w:rsidP="00D90A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D90AD7" w:rsidRPr="00D90AD7" w14:paraId="7687BCA2" w14:textId="77777777" w:rsidTr="00D90AD7">
        <w:tblPrEx>
          <w:tblCellMar>
            <w:top w:w="0" w:type="dxa"/>
            <w:bottom w:w="0" w:type="dxa"/>
          </w:tblCellMar>
        </w:tblPrEx>
        <w:tc>
          <w:tcPr>
            <w:tcW w:w="1247" w:type="dxa"/>
          </w:tcPr>
          <w:p w14:paraId="0254176A" w14:textId="77777777" w:rsidR="00D90AD7" w:rsidRPr="00D90AD7" w:rsidRDefault="00D90AD7" w:rsidP="00D90AD7">
            <w:pPr>
              <w:rPr>
                <w:rFonts w:cs="Frankruhel" w:hint="cs"/>
                <w:rtl/>
              </w:rPr>
            </w:pPr>
            <w:r>
              <w:rPr>
                <w:rtl/>
              </w:rPr>
              <w:t xml:space="preserve">סעיף 11 </w:t>
            </w:r>
          </w:p>
        </w:tc>
        <w:tc>
          <w:tcPr>
            <w:tcW w:w="5669" w:type="dxa"/>
          </w:tcPr>
          <w:p w14:paraId="6F12E691" w14:textId="77777777" w:rsidR="00D90AD7" w:rsidRPr="00D90AD7" w:rsidRDefault="00D90AD7" w:rsidP="00D90AD7">
            <w:pPr>
              <w:rPr>
                <w:rFonts w:cs="Frankruhel" w:hint="cs"/>
                <w:rtl/>
              </w:rPr>
            </w:pPr>
            <w:r>
              <w:rPr>
                <w:rtl/>
              </w:rPr>
              <w:t>השם</w:t>
            </w:r>
          </w:p>
        </w:tc>
        <w:tc>
          <w:tcPr>
            <w:tcW w:w="567" w:type="dxa"/>
          </w:tcPr>
          <w:p w14:paraId="43243733" w14:textId="77777777" w:rsidR="00D90AD7" w:rsidRPr="00D90AD7" w:rsidRDefault="00D90AD7" w:rsidP="00D90AD7">
            <w:pPr>
              <w:rPr>
                <w:rStyle w:val="Hyperlink"/>
                <w:rFonts w:hint="cs"/>
                <w:rtl/>
              </w:rPr>
            </w:pPr>
            <w:hyperlink w:anchor="Seif11" w:tooltip="השם" w:history="1">
              <w:r w:rsidRPr="00D90AD7">
                <w:rPr>
                  <w:rStyle w:val="Hyperlink"/>
                </w:rPr>
                <w:t>Go</w:t>
              </w:r>
            </w:hyperlink>
          </w:p>
        </w:tc>
        <w:tc>
          <w:tcPr>
            <w:tcW w:w="850" w:type="dxa"/>
          </w:tcPr>
          <w:p w14:paraId="5F6666EF" w14:textId="77777777" w:rsidR="00D90AD7" w:rsidRPr="00D90AD7" w:rsidRDefault="00D90AD7" w:rsidP="00D90AD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05C7C93" w14:textId="77777777" w:rsidR="002053AF" w:rsidRDefault="002053AF">
      <w:pPr>
        <w:pStyle w:val="big-header"/>
        <w:ind w:left="0" w:right="1134"/>
        <w:rPr>
          <w:rFonts w:cs="FrankRuehl" w:hint="cs"/>
          <w:sz w:val="32"/>
          <w:rtl/>
        </w:rPr>
      </w:pPr>
    </w:p>
    <w:p w14:paraId="0723F8A2"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0A06218B" w14:textId="77777777" w:rsidR="002053AF" w:rsidRDefault="00D8080E" w:rsidP="00C71695">
      <w:pPr>
        <w:pStyle w:val="big-header"/>
        <w:ind w:left="0" w:right="1134"/>
        <w:rPr>
          <w:rStyle w:val="default"/>
          <w:rFonts w:hint="cs"/>
          <w:sz w:val="22"/>
          <w:szCs w:val="22"/>
          <w:rtl/>
        </w:rPr>
      </w:pPr>
      <w:r>
        <w:rPr>
          <w:rFonts w:cs="FrankRuehl" w:hint="cs"/>
          <w:sz w:val="32"/>
          <w:rtl/>
        </w:rPr>
        <w:t>תקנות בדבר הוראות ביטחון (סדרי עבודתה של הוועדה לבחינת תפיסת טובין) (יהודה והשומרון), תשע"ז-2017</w:t>
      </w:r>
      <w:r w:rsidR="002053AF">
        <w:rPr>
          <w:rStyle w:val="default"/>
          <w:sz w:val="22"/>
          <w:szCs w:val="22"/>
          <w:rtl/>
        </w:rPr>
        <w:footnoteReference w:customMarkFollows="1" w:id="1"/>
        <w:t>*</w:t>
      </w:r>
    </w:p>
    <w:p w14:paraId="284177F0" w14:textId="77777777"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w:t>
      </w:r>
      <w:r w:rsidR="00BD1211">
        <w:rPr>
          <w:rStyle w:val="default"/>
          <w:rFonts w:cs="FrankRuehl" w:hint="cs"/>
          <w:rtl/>
        </w:rPr>
        <w:t>כמפקד</w:t>
      </w:r>
      <w:r w:rsidR="00EB5B6E">
        <w:rPr>
          <w:rStyle w:val="default"/>
          <w:rFonts w:cs="FrankRuehl" w:hint="cs"/>
          <w:rtl/>
        </w:rPr>
        <w:t xml:space="preserve"> כוחות צה"ל באזור ולפי סעיף 62א לצו בדבר הוראות ביטחון [נוסח משולב] (יהודה והשומרון) (מס' 1651), התש"ע-2009 (להלן: "הצו"),</w:t>
      </w:r>
      <w:r w:rsidR="00A07C66">
        <w:rPr>
          <w:rStyle w:val="default"/>
          <w:rFonts w:cs="FrankRuehl" w:hint="cs"/>
          <w:rtl/>
        </w:rPr>
        <w:t xml:space="preserve"> ויתר סמכויותיי</w:t>
      </w:r>
      <w:r w:rsidR="00EB5B6E">
        <w:rPr>
          <w:rStyle w:val="default"/>
          <w:rFonts w:cs="FrankRuehl" w:hint="cs"/>
          <w:rtl/>
        </w:rPr>
        <w:t xml:space="preserve"> על פי דין</w:t>
      </w:r>
      <w:r>
        <w:rPr>
          <w:rStyle w:val="default"/>
          <w:rFonts w:cs="FrankRuehl" w:hint="cs"/>
          <w:rtl/>
        </w:rPr>
        <w:t xml:space="preserve">, </w:t>
      </w:r>
      <w:r w:rsidR="00EB5B6E">
        <w:rPr>
          <w:rStyle w:val="default"/>
          <w:rFonts w:cs="FrankRuehl" w:hint="cs"/>
          <w:rtl/>
        </w:rPr>
        <w:t>א</w:t>
      </w:r>
      <w:r w:rsidR="0059458E">
        <w:rPr>
          <w:rStyle w:val="default"/>
          <w:rFonts w:cs="FrankRuehl" w:hint="cs"/>
          <w:rtl/>
        </w:rPr>
        <w:t>ני</w:t>
      </w:r>
      <w:r w:rsidR="00CE42E9">
        <w:rPr>
          <w:rStyle w:val="default"/>
          <w:rFonts w:cs="FrankRuehl" w:hint="cs"/>
          <w:rtl/>
        </w:rPr>
        <w:t xml:space="preserve"> מתקין תקנות אלה</w:t>
      </w:r>
      <w:r>
        <w:rPr>
          <w:rStyle w:val="default"/>
          <w:rFonts w:cs="FrankRuehl" w:hint="cs"/>
          <w:rtl/>
        </w:rPr>
        <w:t>:</w:t>
      </w:r>
    </w:p>
    <w:p w14:paraId="72A2ECA1" w14:textId="77777777" w:rsidR="008E4871" w:rsidRDefault="002053AF" w:rsidP="00CE42E9">
      <w:pPr>
        <w:pStyle w:val="P00"/>
        <w:spacing w:before="72"/>
        <w:ind w:left="0" w:right="1134"/>
        <w:rPr>
          <w:rStyle w:val="default"/>
          <w:rFonts w:cs="FrankRuehl"/>
          <w:rtl/>
        </w:rPr>
      </w:pPr>
      <w:bookmarkStart w:id="0" w:name="Seif1"/>
      <w:bookmarkEnd w:id="0"/>
      <w:r>
        <w:rPr>
          <w:rFonts w:cs="Miriam"/>
          <w:lang w:val="he-IL"/>
        </w:rPr>
        <w:pict w14:anchorId="20FFAEE0">
          <v:rect id="_x0000_s1026" style="position:absolute;left:0;text-align:left;margin-left:468pt;margin-top:7.1pt;width:71.4pt;height:11.7pt;z-index:251652608" o:allowincell="f" filled="f" stroked="f" strokecolor="lime" strokeweight=".25pt">
            <v:textbox style="mso-next-textbox:#_x0000_s1026" inset="0,0,0,0">
              <w:txbxContent>
                <w:p w14:paraId="4CC0E835"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B5B6E">
        <w:rPr>
          <w:rStyle w:val="default"/>
          <w:rFonts w:cs="FrankRuehl" w:hint="cs"/>
          <w:rtl/>
        </w:rPr>
        <w:t>בתקנות אלה:</w:t>
      </w:r>
    </w:p>
    <w:p w14:paraId="6F5CD066" w14:textId="77777777" w:rsidR="00EB5B6E" w:rsidRDefault="00EB5B6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"ועדה לבחינת תפיסת טובין" </w:t>
      </w:r>
      <w:r>
        <w:rPr>
          <w:rStyle w:val="default"/>
          <w:rFonts w:cs="FrankRuehl"/>
          <w:rtl/>
        </w:rPr>
        <w:t>–</w:t>
      </w:r>
      <w:r>
        <w:rPr>
          <w:rStyle w:val="default"/>
          <w:rFonts w:cs="FrankRuehl" w:hint="cs"/>
          <w:rtl/>
        </w:rPr>
        <w:t xml:space="preserve"> ועדה הפועלת לפי סעיף 62א לצו;</w:t>
      </w:r>
    </w:p>
    <w:p w14:paraId="56B3D942" w14:textId="77777777" w:rsidR="00EB5B6E" w:rsidRDefault="00EB5B6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"כספים" </w:t>
      </w:r>
      <w:r>
        <w:rPr>
          <w:rStyle w:val="default"/>
          <w:rFonts w:cs="FrankRuehl"/>
          <w:rtl/>
        </w:rPr>
        <w:t>–</w:t>
      </w:r>
      <w:r>
        <w:rPr>
          <w:rStyle w:val="default"/>
          <w:rFonts w:cs="FrankRuehl" w:hint="cs"/>
          <w:rtl/>
        </w:rPr>
        <w:t xml:space="preserve"> הילך חוקי באזור או מחוצה לו, ניירות ערך, מסמך כספי, זהב וזכות לכל אחד מהם;</w:t>
      </w:r>
    </w:p>
    <w:p w14:paraId="4CA28AB9" w14:textId="77777777" w:rsidR="00EB5B6E" w:rsidRDefault="00EB5B6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 הוועדה" </w:t>
      </w:r>
      <w:r>
        <w:rPr>
          <w:rStyle w:val="default"/>
          <w:rFonts w:cs="FrankRuehl"/>
          <w:rtl/>
        </w:rPr>
        <w:t>–</w:t>
      </w:r>
      <w:r>
        <w:rPr>
          <w:rStyle w:val="default"/>
          <w:rFonts w:cs="FrankRuehl" w:hint="cs"/>
          <w:rtl/>
        </w:rPr>
        <w:t xml:space="preserve"> מי שמונה על ידי מפקח כוחות צה"ל באזור לשמש כחבר הוועדה, מטעם חיל הפרקליטות הצבאית, חיל המודיעין והמנהל האזרחי;</w:t>
      </w:r>
    </w:p>
    <w:p w14:paraId="12B0BB91" w14:textId="77777777" w:rsidR="00EB5B6E" w:rsidRDefault="00EB5B6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"מזכיר הוועדה" </w:t>
      </w:r>
      <w:r>
        <w:rPr>
          <w:rStyle w:val="default"/>
          <w:rFonts w:cs="FrankRuehl"/>
          <w:rtl/>
        </w:rPr>
        <w:t>–</w:t>
      </w:r>
      <w:r>
        <w:rPr>
          <w:rStyle w:val="default"/>
          <w:rFonts w:cs="FrankRuehl" w:hint="cs"/>
          <w:rtl/>
        </w:rPr>
        <w:t xml:space="preserve"> מי שמונה על ידי מפקח כוחות צה"ל באזור לשמש כמזכיר הוועדה;</w:t>
      </w:r>
    </w:p>
    <w:p w14:paraId="211873C8" w14:textId="77777777" w:rsidR="00EB5B6E" w:rsidRDefault="00EB5B6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"יו"ר הוועדה" </w:t>
      </w:r>
      <w:r>
        <w:rPr>
          <w:rStyle w:val="default"/>
          <w:rFonts w:cs="FrankRuehl"/>
          <w:rtl/>
        </w:rPr>
        <w:t>–</w:t>
      </w:r>
      <w:r>
        <w:rPr>
          <w:rStyle w:val="default"/>
          <w:rFonts w:cs="FrankRuehl" w:hint="cs"/>
          <w:rtl/>
        </w:rPr>
        <w:t xml:space="preserve"> נציג חיל הפרקליטות הצבאית המשמש חבר ועדה.</w:t>
      </w:r>
    </w:p>
    <w:p w14:paraId="421E8BC9" w14:textId="77777777" w:rsidR="002053AF" w:rsidRDefault="002053AF" w:rsidP="0059458E">
      <w:pPr>
        <w:pStyle w:val="P00"/>
        <w:spacing w:before="72"/>
        <w:ind w:left="0" w:right="1134"/>
        <w:rPr>
          <w:rStyle w:val="big-number"/>
          <w:rFonts w:cs="FrankRuehl"/>
          <w:sz w:val="26"/>
          <w:szCs w:val="26"/>
          <w:rtl/>
        </w:rPr>
      </w:pPr>
      <w:bookmarkStart w:id="1" w:name="Seif7"/>
      <w:bookmarkEnd w:id="1"/>
      <w:r>
        <w:rPr>
          <w:rFonts w:cs="Miriam"/>
          <w:szCs w:val="32"/>
          <w:rtl/>
          <w:lang w:val="he-IL"/>
        </w:rPr>
        <w:pict w14:anchorId="0BE499CD">
          <v:shapetype id="_x0000_t202" coordsize="21600,21600" o:spt="202" path="m,l,21600r21600,l21600,xe">
            <v:stroke joinstyle="miter"/>
            <v:path gradientshapeok="t" o:connecttype="rect"/>
          </v:shapetype>
          <v:shape id="_x0000_s1354" type="#_x0000_t202" style="position:absolute;left:0;text-align:left;margin-left:470.35pt;margin-top:7.1pt;width:1in;height:20.05pt;z-index:251658752" filled="f" stroked="f">
            <v:textbox inset="1mm,0,1mm,0">
              <w:txbxContent>
                <w:p w14:paraId="4E58F312" w14:textId="77777777" w:rsidR="005A44D6" w:rsidRDefault="00EB5B6E">
                  <w:pPr>
                    <w:spacing w:line="160" w:lineRule="exact"/>
                    <w:rPr>
                      <w:rFonts w:cs="Miriam" w:hint="cs"/>
                      <w:sz w:val="18"/>
                      <w:szCs w:val="18"/>
                      <w:rtl/>
                    </w:rPr>
                  </w:pPr>
                  <w:r>
                    <w:rPr>
                      <w:rFonts w:cs="Miriam" w:hint="cs"/>
                      <w:sz w:val="18"/>
                      <w:szCs w:val="18"/>
                      <w:rtl/>
                    </w:rPr>
                    <w:t>אסמכתא בדבר תפיסת טובין</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B5B6E">
        <w:rPr>
          <w:rStyle w:val="big-number"/>
          <w:rFonts w:cs="FrankRuehl" w:hint="cs"/>
          <w:sz w:val="26"/>
          <w:szCs w:val="26"/>
          <w:rtl/>
        </w:rPr>
        <w:t>(א)</w:t>
      </w:r>
      <w:r w:rsidR="00EB5B6E">
        <w:rPr>
          <w:rStyle w:val="big-number"/>
          <w:rFonts w:cs="FrankRuehl"/>
          <w:sz w:val="26"/>
          <w:szCs w:val="26"/>
          <w:rtl/>
        </w:rPr>
        <w:tab/>
      </w:r>
      <w:r w:rsidR="00EB5B6E">
        <w:rPr>
          <w:rStyle w:val="big-number"/>
          <w:rFonts w:cs="FrankRuehl" w:hint="cs"/>
          <w:sz w:val="26"/>
          <w:szCs w:val="26"/>
          <w:rtl/>
        </w:rPr>
        <w:t>נתפסו טובין על ידי כוחות הביטחון מכוח סמכותם לפי סעיף 60 לצו או לפי תקנה 74 לתקנות ההגנה (שעת חירום), 1945, תמולא בזמן תפיסת הטובין אסמכתא בדבר תפיסת טובין. האסמכתא תיכתב בשפה העברית ובשפה הערבית.</w:t>
      </w:r>
    </w:p>
    <w:p w14:paraId="28E5667A" w14:textId="77777777" w:rsidR="00EB5B6E" w:rsidRDefault="00EB5B6E" w:rsidP="0059458E">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העתק מן האסמכתא בשפה הערבית, יימסר למי שנמצאו ברשותו הטובין.</w:t>
      </w:r>
    </w:p>
    <w:p w14:paraId="0399229A" w14:textId="77777777" w:rsidR="00EB5B6E" w:rsidRDefault="00EB5B6E" w:rsidP="0059458E">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האסמכתא בדבר תפיסת הטובין תפרט את נסיבות תפיסת הטובין, ותכלול, בין היתר, את הפרטים הבאים: שמו של מי שנמצאו ברשותו הטובין; תאריך תפיסת הטובין והמקום בו הם נתפסו; אם נתפסו כספים, הסכום המדויק של הכספים סוגם ותיאורם; פירוט של הטובין התפוסים.</w:t>
      </w:r>
    </w:p>
    <w:p w14:paraId="24D11DFA" w14:textId="77777777" w:rsidR="00EB5B6E" w:rsidRDefault="00EB5B6E" w:rsidP="0059458E">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Pr>
          <w:rStyle w:val="big-number"/>
          <w:rFonts w:cs="FrankRuehl" w:hint="cs"/>
          <w:sz w:val="26"/>
          <w:szCs w:val="26"/>
          <w:rtl/>
        </w:rPr>
        <w:t>נתפסו טובין, יחתום מי שנמצאו הטובין ברשותו על האסמכתא בדבר התפיסה, ואם סרב לחתום, יצוין הדבר באסמכתא.</w:t>
      </w:r>
    </w:p>
    <w:p w14:paraId="0577C3DC" w14:textId="77777777" w:rsidR="00EB5B6E" w:rsidRDefault="00EB5B6E" w:rsidP="0059458E">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ab/>
      </w:r>
      <w:r>
        <w:rPr>
          <w:rStyle w:val="big-number"/>
          <w:rFonts w:cs="FrankRuehl" w:hint="cs"/>
          <w:sz w:val="26"/>
          <w:szCs w:val="26"/>
          <w:rtl/>
        </w:rPr>
        <w:t>העתק מן האסמכתא בדבר תפיסת הטובין, יועבר למזכיר הוועדה וליועמ"ש איו"ש.</w:t>
      </w:r>
    </w:p>
    <w:p w14:paraId="5EA17FB3" w14:textId="77777777" w:rsidR="00EB5B6E" w:rsidRDefault="00EB5B6E" w:rsidP="0059458E">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(ו)</w:t>
      </w:r>
      <w:r>
        <w:rPr>
          <w:rStyle w:val="big-number"/>
          <w:rFonts w:cs="FrankRuehl"/>
          <w:sz w:val="26"/>
          <w:szCs w:val="26"/>
          <w:rtl/>
        </w:rPr>
        <w:tab/>
      </w:r>
      <w:r>
        <w:rPr>
          <w:rStyle w:val="big-number"/>
          <w:rFonts w:cs="FrankRuehl" w:hint="cs"/>
          <w:sz w:val="26"/>
          <w:szCs w:val="26"/>
          <w:rtl/>
        </w:rPr>
        <w:t>אי מילוי אסמכתא כאמור בסעיף זה, לא יפגום בחוקיות תפיסת הטובין.</w:t>
      </w:r>
    </w:p>
    <w:p w14:paraId="74ACD961" w14:textId="77777777" w:rsidR="002053AF" w:rsidRDefault="001956C4" w:rsidP="0059458E">
      <w:pPr>
        <w:pStyle w:val="P00"/>
        <w:spacing w:before="72"/>
        <w:ind w:left="0" w:right="1134"/>
        <w:rPr>
          <w:rStyle w:val="default"/>
          <w:rFonts w:cs="FrankRuehl"/>
          <w:rtl/>
        </w:rPr>
      </w:pPr>
      <w:bookmarkStart w:id="2" w:name="Seif8"/>
      <w:bookmarkEnd w:id="2"/>
      <w:r>
        <w:rPr>
          <w:rFonts w:cs="Miriam" w:hint="cs"/>
          <w:sz w:val="32"/>
          <w:szCs w:val="32"/>
          <w:rtl/>
          <w:lang w:eastAsia="en-US"/>
        </w:rPr>
        <w:pict w14:anchorId="5BECF974">
          <v:shape id="_x0000_s1361" type="#_x0000_t202" style="position:absolute;left:0;text-align:left;margin-left:470.35pt;margin-top:7.1pt;width:1in;height:18.9pt;z-index:251659776" filled="f" stroked="f">
            <v:textbox style="mso-next-textbox:#_x0000_s1361" inset="1mm,0,1mm,0">
              <w:txbxContent>
                <w:p w14:paraId="3CFD486F" w14:textId="77777777" w:rsidR="005A44D6" w:rsidRDefault="00EB5B6E" w:rsidP="001D326B">
                  <w:pPr>
                    <w:spacing w:line="160" w:lineRule="exact"/>
                    <w:rPr>
                      <w:rFonts w:cs="Miriam" w:hint="cs"/>
                      <w:sz w:val="18"/>
                      <w:szCs w:val="18"/>
                      <w:rtl/>
                    </w:rPr>
                  </w:pPr>
                  <w:r>
                    <w:rPr>
                      <w:rFonts w:cs="Miriam" w:hint="cs"/>
                      <w:sz w:val="18"/>
                      <w:szCs w:val="18"/>
                      <w:rtl/>
                    </w:rPr>
                    <w:t>זכות טיעון בפני הוועדה</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EB5B6E">
        <w:rPr>
          <w:rStyle w:val="default"/>
          <w:rFonts w:cs="FrankRuehl" w:hint="cs"/>
          <w:rtl/>
        </w:rPr>
        <w:t>(א)</w:t>
      </w:r>
      <w:r w:rsidR="00EB5B6E">
        <w:rPr>
          <w:rStyle w:val="default"/>
          <w:rFonts w:cs="FrankRuehl"/>
          <w:rtl/>
        </w:rPr>
        <w:tab/>
      </w:r>
      <w:r w:rsidR="00EB5B6E">
        <w:rPr>
          <w:rStyle w:val="default"/>
          <w:rFonts w:cs="FrankRuehl" w:hint="cs"/>
          <w:rtl/>
        </w:rPr>
        <w:t>מי שנמצאו ברשותו טובין שנתפסו לפי סעיף 2, יהיה רשאי, בתוך 30 ימים מיום שנתפסו הטובין, להגיש את טענותיו בכתב לוועדה, וכן לבקש להופיע בפניה</w:t>
      </w:r>
      <w:r w:rsidR="00D632D4">
        <w:rPr>
          <w:rStyle w:val="default"/>
          <w:rFonts w:cs="FrankRuehl" w:hint="cs"/>
          <w:rtl/>
        </w:rPr>
        <w:t>.</w:t>
      </w:r>
    </w:p>
    <w:p w14:paraId="261C58E6" w14:textId="77777777" w:rsidR="00EB5B6E" w:rsidRDefault="00EB5B6E"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ביקש מי שנמצאו ברשותו הטובין להופיע בפני הוועדה, יודיע מזכיר הוועדה למבקש את המועד והמקום בו הוא מוזמן להופיע בפניה.</w:t>
      </w:r>
    </w:p>
    <w:p w14:paraId="288B305F" w14:textId="77777777" w:rsidR="00EB5B6E" w:rsidRDefault="00EB5B6E"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התייצב מי שנמצא ברשותו הטובין בפני הוועדה בתוך המועדים האמורים לעיל, יראו אותו כמי שניתנה לו הזדמנות לטעון את טענותיו בפני הוועדה.</w:t>
      </w:r>
    </w:p>
    <w:p w14:paraId="7ECB648E" w14:textId="77777777" w:rsidR="00EB5B6E" w:rsidRDefault="00EB5B6E" w:rsidP="0059458E">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רשאי יו"ר הוועדה להאריך את המועדים האמורים לעיל, אם מצא כי קיימים טעמים מיוחדים לעשות כן.</w:t>
      </w:r>
    </w:p>
    <w:p w14:paraId="5BDD96B1" w14:textId="77777777" w:rsidR="002E532F" w:rsidRDefault="002053AF" w:rsidP="0059458E">
      <w:pPr>
        <w:pStyle w:val="P00"/>
        <w:spacing w:before="72"/>
        <w:ind w:left="0" w:right="1134"/>
        <w:rPr>
          <w:rStyle w:val="default"/>
          <w:rFonts w:cs="FrankRuehl"/>
          <w:rtl/>
        </w:rPr>
      </w:pPr>
      <w:bookmarkStart w:id="3" w:name="Seif4"/>
      <w:bookmarkEnd w:id="3"/>
      <w:r>
        <w:rPr>
          <w:rFonts w:cs="Miriam"/>
          <w:szCs w:val="32"/>
          <w:rtl/>
          <w:lang w:val="he-IL"/>
        </w:rPr>
        <w:pict w14:anchorId="2D2AC8E2">
          <v:shape id="_x0000_s1316" type="#_x0000_t202" style="position:absolute;left:0;text-align:left;margin-left:463.5pt;margin-top:7.1pt;width:78.85pt;height:14.9pt;z-index:251655680" filled="f" stroked="f">
            <v:textbox style="mso-next-textbox:#_x0000_s1316" inset="1mm,0,1mm,0">
              <w:txbxContent>
                <w:p w14:paraId="6D36DC70" w14:textId="77777777" w:rsidR="005A44D6" w:rsidRDefault="00EB5B6E" w:rsidP="00B115BA">
                  <w:pPr>
                    <w:spacing w:line="160" w:lineRule="exact"/>
                    <w:rPr>
                      <w:rFonts w:cs="Miriam" w:hint="cs"/>
                      <w:sz w:val="18"/>
                      <w:szCs w:val="18"/>
                      <w:rtl/>
                    </w:rPr>
                  </w:pPr>
                  <w:r>
                    <w:rPr>
                      <w:rFonts w:cs="Miriam" w:hint="cs"/>
                      <w:sz w:val="18"/>
                      <w:szCs w:val="18"/>
                      <w:rtl/>
                    </w:rPr>
                    <w:t>סדרי הדין בוועדה</w:t>
                  </w:r>
                </w:p>
              </w:txbxContent>
            </v:textbox>
          </v:shape>
        </w:pict>
      </w:r>
      <w:r>
        <w:rPr>
          <w:rStyle w:val="big-number"/>
          <w:rFonts w:cs="Miriam" w:hint="cs"/>
          <w:rtl/>
        </w:rPr>
        <w:t>4</w:t>
      </w:r>
      <w:r>
        <w:rPr>
          <w:rStyle w:val="default"/>
          <w:rFonts w:cs="FrankRuehl"/>
          <w:rtl/>
        </w:rPr>
        <w:t>.</w:t>
      </w:r>
      <w:r>
        <w:rPr>
          <w:rStyle w:val="default"/>
          <w:rFonts w:cs="FrankRuehl"/>
          <w:rtl/>
        </w:rPr>
        <w:tab/>
      </w:r>
      <w:r w:rsidR="00EB5B6E">
        <w:rPr>
          <w:rStyle w:val="default"/>
          <w:rFonts w:cs="FrankRuehl" w:hint="cs"/>
          <w:rtl/>
        </w:rPr>
        <w:t>(א)</w:t>
      </w:r>
      <w:r w:rsidR="00EB5B6E">
        <w:rPr>
          <w:rStyle w:val="default"/>
          <w:rFonts w:cs="FrankRuehl"/>
          <w:rtl/>
        </w:rPr>
        <w:tab/>
      </w:r>
      <w:r w:rsidR="00EB5B6E">
        <w:rPr>
          <w:rStyle w:val="default"/>
          <w:rFonts w:cs="FrankRuehl" w:hint="cs"/>
          <w:rtl/>
        </w:rPr>
        <w:t>הוועדה לא תהיה קשורה בדיני הראיות ובסדרי הדין</w:t>
      </w:r>
      <w:r w:rsidR="002E532F">
        <w:rPr>
          <w:rStyle w:val="default"/>
          <w:rFonts w:cs="FrankRuehl" w:hint="cs"/>
          <w:rtl/>
        </w:rPr>
        <w:t>.</w:t>
      </w:r>
    </w:p>
    <w:p w14:paraId="5EEAEEEC" w14:textId="77777777" w:rsidR="00EB5B6E" w:rsidRDefault="00EB5B6E"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סדרי הדיון של הוועדה ייקבעו על ידי יו"ר הוועדה, ובלבד שתובטח זכותו של מי שנמצאו ברשותו הכספים להביא את טענותיו בפני הוועדה, כאמור בסעיף 3 לעיל.</w:t>
      </w:r>
    </w:p>
    <w:p w14:paraId="75DCBFC7" w14:textId="77777777" w:rsidR="00EB5B6E" w:rsidRDefault="00EB5B6E"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6B3393">
        <w:rPr>
          <w:rStyle w:val="default"/>
          <w:rFonts w:cs="FrankRuehl" w:hint="cs"/>
          <w:rtl/>
        </w:rPr>
        <w:t xml:space="preserve">לצורך קבלת החלטותיה כאמור, </w:t>
      </w:r>
      <w:r w:rsidR="00F92118">
        <w:rPr>
          <w:rStyle w:val="default"/>
          <w:rFonts w:cs="FrankRuehl" w:hint="cs"/>
          <w:rtl/>
        </w:rPr>
        <w:t xml:space="preserve">רשאית הוועדה לבחון כל חומר אשר יובא בפניה, בעל פה או בכתב, לרבות חומר חסוי. כן רשאית הוועדה לבקש, מיוזמתה, כל חומר נוסף אשר </w:t>
      </w:r>
      <w:r w:rsidR="00F92118">
        <w:rPr>
          <w:rStyle w:val="default"/>
          <w:rFonts w:cs="FrankRuehl" w:hint="cs"/>
          <w:rtl/>
        </w:rPr>
        <w:lastRenderedPageBreak/>
        <w:t>דרוש לדעתה לצורך קבלת ההחלטה.</w:t>
      </w:r>
    </w:p>
    <w:p w14:paraId="30B632A6" w14:textId="77777777" w:rsidR="00F92118" w:rsidRDefault="00F92118"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רשאית הוועדה לקבל ראיה אף שלא בנוכחות המבקש או בא כוחו, אם שוכנעה כי גילוי הראיה עלול לפגוע בביטחון האזור, בשלום הציבור או בביטחונו, או לחשוף שיטות עבודה חסויות.</w:t>
      </w:r>
    </w:p>
    <w:p w14:paraId="58C1DFCC" w14:textId="77777777" w:rsidR="00F92118" w:rsidRDefault="00F92118"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דיוני הוועדה יהיו חסויים, אלא אם הורה יו"ר הוועדה אחרת.</w:t>
      </w:r>
    </w:p>
    <w:p w14:paraId="20B3789E" w14:textId="77777777" w:rsidR="002053AF" w:rsidRDefault="002053AF" w:rsidP="0059458E">
      <w:pPr>
        <w:pStyle w:val="P00"/>
        <w:spacing w:before="72"/>
        <w:ind w:left="0" w:right="1134"/>
        <w:rPr>
          <w:rStyle w:val="default"/>
          <w:rFonts w:cs="FrankRuehl"/>
          <w:rtl/>
        </w:rPr>
      </w:pPr>
      <w:bookmarkStart w:id="4" w:name="Seif5"/>
      <w:bookmarkEnd w:id="4"/>
      <w:r>
        <w:rPr>
          <w:rFonts w:cs="Miriam"/>
          <w:szCs w:val="32"/>
          <w:rtl/>
          <w:lang w:val="he-IL"/>
        </w:rPr>
        <w:pict w14:anchorId="5D695599">
          <v:shape id="_x0000_s1344" type="#_x0000_t202" style="position:absolute;left:0;text-align:left;margin-left:464.35pt;margin-top:7.1pt;width:78pt;height:15.2pt;z-index:251656704" filled="f" stroked="f">
            <v:textbox inset="1mm,0,1mm,0">
              <w:txbxContent>
                <w:p w14:paraId="42975E60" w14:textId="77777777" w:rsidR="005A44D6" w:rsidRDefault="00F92118">
                  <w:pPr>
                    <w:spacing w:line="160" w:lineRule="exact"/>
                    <w:rPr>
                      <w:rFonts w:cs="Miriam" w:hint="cs"/>
                      <w:sz w:val="18"/>
                      <w:szCs w:val="18"/>
                      <w:rtl/>
                    </w:rPr>
                  </w:pPr>
                  <w:r>
                    <w:rPr>
                      <w:rFonts w:cs="Miriam" w:hint="cs"/>
                      <w:sz w:val="18"/>
                      <w:szCs w:val="18"/>
                      <w:rtl/>
                    </w:rPr>
                    <w:t>שמירת הטובין</w:t>
                  </w:r>
                </w:p>
              </w:txbxContent>
            </v:textbox>
          </v:shape>
        </w:pict>
      </w:r>
      <w:r>
        <w:rPr>
          <w:rStyle w:val="big-number"/>
          <w:rFonts w:cs="Miriam" w:hint="cs"/>
          <w:rtl/>
        </w:rPr>
        <w:t>5</w:t>
      </w:r>
      <w:r>
        <w:rPr>
          <w:rStyle w:val="default"/>
          <w:rFonts w:cs="FrankRuehl"/>
          <w:rtl/>
        </w:rPr>
        <w:t>.</w:t>
      </w:r>
      <w:r>
        <w:rPr>
          <w:rStyle w:val="default"/>
          <w:rFonts w:cs="FrankRuehl"/>
          <w:rtl/>
        </w:rPr>
        <w:tab/>
      </w:r>
      <w:r w:rsidR="00F92118">
        <w:rPr>
          <w:rStyle w:val="default"/>
          <w:rFonts w:cs="FrankRuehl" w:hint="cs"/>
          <w:rtl/>
        </w:rPr>
        <w:t>עד לקבלת החלטה בעניינם, יישמרו הטובין בידי כוחות הביטחון באזור</w:t>
      </w:r>
      <w:r w:rsidR="00CB0788">
        <w:rPr>
          <w:rStyle w:val="default"/>
          <w:rFonts w:cs="FrankRuehl" w:hint="cs"/>
          <w:rtl/>
        </w:rPr>
        <w:t>.</w:t>
      </w:r>
    </w:p>
    <w:p w14:paraId="20270145" w14:textId="77777777" w:rsidR="002053AF" w:rsidRDefault="002053AF" w:rsidP="0059458E">
      <w:pPr>
        <w:pStyle w:val="P00"/>
        <w:spacing w:before="72"/>
        <w:ind w:left="0" w:right="1134"/>
        <w:rPr>
          <w:rStyle w:val="default"/>
          <w:rFonts w:cs="FrankRuehl"/>
          <w:rtl/>
        </w:rPr>
      </w:pPr>
      <w:bookmarkStart w:id="5" w:name="Seif6"/>
      <w:bookmarkEnd w:id="5"/>
      <w:r>
        <w:rPr>
          <w:rFonts w:cs="Miriam"/>
          <w:szCs w:val="32"/>
          <w:rtl/>
          <w:lang w:val="he-IL"/>
        </w:rPr>
        <w:pict w14:anchorId="2D05C412">
          <v:shape id="_x0000_s1345" type="#_x0000_t202" style="position:absolute;left:0;text-align:left;margin-left:463.5pt;margin-top:7.1pt;width:78.85pt;height:12.25pt;z-index:251657728" filled="f" stroked="f">
            <v:textbox style="mso-next-textbox:#_x0000_s1345" inset="1mm,0,1mm,0">
              <w:txbxContent>
                <w:p w14:paraId="29146516" w14:textId="77777777" w:rsidR="005A44D6" w:rsidRDefault="00F92118">
                  <w:pPr>
                    <w:spacing w:line="160" w:lineRule="exact"/>
                    <w:rPr>
                      <w:rFonts w:cs="Miriam" w:hint="cs"/>
                      <w:sz w:val="18"/>
                      <w:szCs w:val="18"/>
                      <w:rtl/>
                    </w:rPr>
                  </w:pPr>
                  <w:r>
                    <w:rPr>
                      <w:rFonts w:cs="Miriam" w:hint="cs"/>
                      <w:sz w:val="18"/>
                      <w:szCs w:val="18"/>
                      <w:rtl/>
                    </w:rPr>
                    <w:t>החלטת הוועדה</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F92118">
        <w:rPr>
          <w:rStyle w:val="default"/>
          <w:rFonts w:cs="FrankRuehl" w:hint="cs"/>
          <w:rtl/>
        </w:rPr>
        <w:t>(א)</w:t>
      </w:r>
      <w:r w:rsidR="00F92118">
        <w:rPr>
          <w:rStyle w:val="default"/>
          <w:rFonts w:cs="FrankRuehl"/>
          <w:rtl/>
        </w:rPr>
        <w:tab/>
      </w:r>
      <w:r w:rsidR="00F92118">
        <w:rPr>
          <w:rStyle w:val="default"/>
          <w:rFonts w:cs="FrankRuehl" w:hint="cs"/>
          <w:rtl/>
        </w:rPr>
        <w:t>נחלקו דעות חברי הוועדה, תכריע דעת הרוב</w:t>
      </w:r>
      <w:r w:rsidR="00CB0788">
        <w:rPr>
          <w:rStyle w:val="default"/>
          <w:rFonts w:cs="FrankRuehl" w:hint="cs"/>
          <w:rtl/>
        </w:rPr>
        <w:t>.</w:t>
      </w:r>
    </w:p>
    <w:p w14:paraId="13686C91" w14:textId="77777777" w:rsidR="00F92118" w:rsidRDefault="00F92118"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הוגשו טענות לפי תקנה 3(א), תתכנס הוועדה בתוך 30 ימים מיום קבלת הטענות, ותיתן החלטתה בתוך 30 ימים. על אף האמור, רשאי יו"ר הוועדה להאריך את מועד מתן החלטת הוועדה, אם מצא כי קיימים טעמים מיוחדים לעשות כן.</w:t>
      </w:r>
    </w:p>
    <w:p w14:paraId="2819A881" w14:textId="77777777" w:rsidR="00F92118" w:rsidRDefault="00F92118"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מצאה הוועדה כי לא היה מקום לתפיסת הטובין או כי אין מקום להחרים את הטובין שנתפסו, תורה על החזרת הטובין כולם או חלקם, לידי מי שנתפסו ברשותו הטובין, בהתאם למידע הרשות באסמכתא בדבר תפיסת הטובין, למעט במקרים חריגים, בהם, מנימוקים שירשמו, יורה מפקד כוחות צה"ל באזור אחרת.</w:t>
      </w:r>
    </w:p>
    <w:p w14:paraId="7B622EAF" w14:textId="77777777" w:rsidR="00F92118" w:rsidRDefault="00F92118"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החליטה הוועדה להמליץ על החרמת הטובין, כולם או חלקם, תועבר המלצתה לידי מפקח כוחות צה"ל באזור, וייעשה בהם ככל שיורה מפקד כוחות צה"ל באזור. המלצת הוועדה תועבר לאדם שברשותו נתפסו הטובין או לבא כוחו.</w:t>
      </w:r>
    </w:p>
    <w:p w14:paraId="00A5D6E8" w14:textId="77777777" w:rsidR="00F92118" w:rsidRDefault="00F92118"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המליצה הוועדה על החרמת הטובין, כאמור בסעיף קטן (ד), יהיה מי שנתפסו ברשותו הטובין, רשאי להגיש בקשה בפני הוועדה לפדות את הטובין כנגד תשלום כספי בתוך שבעה ימים מיום רבלת החלטת הוועדה. הוועדה תחליט אם להיעתר לבקשה, ותורה על גובה סכום התשלום.</w:t>
      </w:r>
    </w:p>
    <w:p w14:paraId="753221F9" w14:textId="77777777" w:rsidR="00F92118" w:rsidRDefault="00F92118"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FE2CCA">
        <w:rPr>
          <w:rStyle w:val="default"/>
          <w:rFonts w:cs="FrankRuehl" w:hint="cs"/>
          <w:rtl/>
        </w:rPr>
        <w:t>הורתה הוועדה על השבת הטובין, יתאם מזכיר הוועדה, תוך 14 ימים מיום החלטת הוועדה, מועד להשבת הטובין, והכול בכפוף לאמור בתקנה 6(ג).</w:t>
      </w:r>
    </w:p>
    <w:p w14:paraId="1F4E474B" w14:textId="77777777" w:rsidR="00FE2CCA" w:rsidRDefault="00FE2CCA"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על אף האמור, רשאי יו"ר הוועדה להאריך את המועדים האמורים לעיל, אם מצא כי קיימים טעמים מיוחדים לעשות כן.</w:t>
      </w:r>
    </w:p>
    <w:p w14:paraId="1911D49A" w14:textId="77777777" w:rsidR="002053AF" w:rsidRDefault="002053AF" w:rsidP="00161FB8">
      <w:pPr>
        <w:pStyle w:val="P00"/>
        <w:spacing w:before="72"/>
        <w:ind w:left="0" w:right="1134"/>
        <w:rPr>
          <w:rStyle w:val="default"/>
          <w:rFonts w:cs="FrankRuehl"/>
          <w:rtl/>
        </w:rPr>
      </w:pPr>
      <w:bookmarkStart w:id="6" w:name="Seif2"/>
      <w:bookmarkEnd w:id="6"/>
      <w:r>
        <w:rPr>
          <w:rFonts w:cs="Miriam"/>
          <w:lang w:val="he-IL"/>
        </w:rPr>
        <w:pict w14:anchorId="513FB92F">
          <v:rect id="_x0000_s1295" style="position:absolute;left:0;text-align:left;margin-left:464.35pt;margin-top:7.1pt;width:75.05pt;height:13.85pt;z-index:251653632" o:allowincell="f" filled="f" stroked="f" strokecolor="lime" strokeweight=".25pt">
            <v:textbox style="mso-next-textbox:#_x0000_s1295" inset="0,0,0,0">
              <w:txbxContent>
                <w:p w14:paraId="7E8FCCE5" w14:textId="77777777" w:rsidR="005A44D6" w:rsidRDefault="00AD5A49">
                  <w:pPr>
                    <w:spacing w:line="160" w:lineRule="exact"/>
                    <w:rPr>
                      <w:rFonts w:cs="Miriam" w:hint="cs"/>
                      <w:sz w:val="18"/>
                      <w:szCs w:val="18"/>
                      <w:rtl/>
                    </w:rPr>
                  </w:pPr>
                  <w:r>
                    <w:rPr>
                      <w:rFonts w:cs="Miriam" w:hint="cs"/>
                      <w:sz w:val="18"/>
                      <w:szCs w:val="18"/>
                      <w:rtl/>
                    </w:rPr>
                    <w:t>העדר השגה</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AD5A49">
        <w:rPr>
          <w:rStyle w:val="default"/>
          <w:rFonts w:cs="FrankRuehl" w:hint="cs"/>
          <w:rtl/>
        </w:rPr>
        <w:t>לא העלה מי שנמצאו ברשותו הטובין את טענותיו לפי תקנה 3, ייעשה בטובין ככל שיורה מפקד כוחות צה"ל באזור על פי כל דין ותחיקת הביטחון</w:t>
      </w:r>
      <w:r w:rsidR="00167F45">
        <w:rPr>
          <w:rStyle w:val="default"/>
          <w:rFonts w:cs="FrankRuehl" w:hint="cs"/>
          <w:rtl/>
        </w:rPr>
        <w:t>.</w:t>
      </w:r>
    </w:p>
    <w:p w14:paraId="5C15CEF1" w14:textId="77777777" w:rsidR="002053AF" w:rsidRDefault="002053AF" w:rsidP="00161FB8">
      <w:pPr>
        <w:pStyle w:val="P00"/>
        <w:spacing w:before="72"/>
        <w:ind w:left="0" w:right="1134"/>
        <w:rPr>
          <w:rStyle w:val="default"/>
          <w:rFonts w:cs="FrankRuehl"/>
          <w:rtl/>
        </w:rPr>
      </w:pPr>
      <w:bookmarkStart w:id="7" w:name="Seif3"/>
      <w:bookmarkEnd w:id="7"/>
      <w:r>
        <w:rPr>
          <w:rFonts w:cs="Miriam"/>
          <w:lang w:val="he-IL"/>
        </w:rPr>
        <w:pict w14:anchorId="14B02754">
          <v:rect id="_x0000_s1296" style="position:absolute;left:0;text-align:left;margin-left:464.35pt;margin-top:7.1pt;width:75.05pt;height:12.85pt;z-index:251654656" o:allowincell="f" filled="f" stroked="f" strokecolor="lime" strokeweight=".25pt">
            <v:textbox style="mso-next-textbox:#_x0000_s1296" inset="0,0,0,0">
              <w:txbxContent>
                <w:p w14:paraId="3CC199DB" w14:textId="77777777" w:rsidR="005A44D6" w:rsidRDefault="00AD5A49" w:rsidP="00A46F6E">
                  <w:pPr>
                    <w:spacing w:line="160" w:lineRule="exact"/>
                    <w:rPr>
                      <w:rFonts w:cs="Miriam" w:hint="cs"/>
                      <w:sz w:val="18"/>
                      <w:szCs w:val="18"/>
                      <w:rtl/>
                    </w:rPr>
                  </w:pPr>
                  <w:r>
                    <w:rPr>
                      <w:rFonts w:cs="Miriam" w:hint="cs"/>
                      <w:sz w:val="18"/>
                      <w:szCs w:val="18"/>
                      <w:rtl/>
                    </w:rPr>
                    <w:t>ריבית והצמדה</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AD5A49">
        <w:rPr>
          <w:rStyle w:val="default"/>
          <w:rFonts w:cs="FrankRuehl" w:hint="cs"/>
          <w:rtl/>
        </w:rPr>
        <w:t>כספים שיוחזרו לא יישאו הפרשי ריבית והצמדה</w:t>
      </w:r>
      <w:r w:rsidR="00B91D00">
        <w:rPr>
          <w:rStyle w:val="default"/>
          <w:rFonts w:cs="FrankRuehl" w:hint="cs"/>
          <w:rtl/>
        </w:rPr>
        <w:t>.</w:t>
      </w:r>
    </w:p>
    <w:p w14:paraId="4BB0D9D4" w14:textId="77777777" w:rsidR="00A07C66" w:rsidRDefault="00A07C66" w:rsidP="00A07C66">
      <w:pPr>
        <w:pStyle w:val="P00"/>
        <w:spacing w:before="72"/>
        <w:ind w:left="0" w:right="1134"/>
        <w:rPr>
          <w:rStyle w:val="default"/>
          <w:rFonts w:cs="FrankRuehl"/>
          <w:rtl/>
        </w:rPr>
      </w:pPr>
      <w:bookmarkStart w:id="8" w:name="Seif9"/>
      <w:bookmarkEnd w:id="8"/>
      <w:r>
        <w:rPr>
          <w:rFonts w:cs="Miriam"/>
          <w:lang w:val="he-IL"/>
        </w:rPr>
        <w:pict w14:anchorId="44E18088">
          <v:rect id="_x0000_s1362" style="position:absolute;left:0;text-align:left;margin-left:464.35pt;margin-top:7.1pt;width:75.05pt;height:11.65pt;z-index:251660800" o:allowincell="f" filled="f" stroked="f" strokecolor="lime" strokeweight=".25pt">
            <v:textbox style="mso-next-textbox:#_x0000_s1362" inset="0,0,0,0">
              <w:txbxContent>
                <w:p w14:paraId="08147CDF" w14:textId="77777777" w:rsidR="00A07C66" w:rsidRDefault="00AD5A49" w:rsidP="00A07C66">
                  <w:pPr>
                    <w:spacing w:line="160" w:lineRule="exact"/>
                    <w:rPr>
                      <w:rFonts w:cs="Miriam" w:hint="cs"/>
                      <w:sz w:val="18"/>
                      <w:szCs w:val="18"/>
                      <w:rtl/>
                    </w:rPr>
                  </w:pPr>
                  <w:r>
                    <w:rPr>
                      <w:rFonts w:cs="Miriam" w:hint="cs"/>
                      <w:sz w:val="18"/>
                      <w:szCs w:val="18"/>
                      <w:rtl/>
                    </w:rPr>
                    <w:t>תחילה</w:t>
                  </w:r>
                </w:p>
              </w:txbxContent>
            </v:textbox>
            <w10:anchorlock/>
          </v:rect>
        </w:pict>
      </w:r>
      <w:r w:rsidR="00FB6A3B">
        <w:rPr>
          <w:rStyle w:val="big-number"/>
          <w:rFonts w:cs="Miriam" w:hint="cs"/>
          <w:rtl/>
        </w:rPr>
        <w:t>9</w:t>
      </w:r>
      <w:r>
        <w:rPr>
          <w:rStyle w:val="default"/>
          <w:rFonts w:cs="FrankRuehl"/>
          <w:rtl/>
        </w:rPr>
        <w:t>.</w:t>
      </w:r>
      <w:r>
        <w:rPr>
          <w:rStyle w:val="default"/>
          <w:rFonts w:cs="FrankRuehl"/>
          <w:rtl/>
        </w:rPr>
        <w:tab/>
      </w:r>
      <w:r w:rsidR="00AD5A49">
        <w:rPr>
          <w:rStyle w:val="default"/>
          <w:rFonts w:cs="FrankRuehl" w:hint="cs"/>
          <w:rtl/>
        </w:rPr>
        <w:t>תחילת תוקפן של תקונת אלה ביום חתימתן</w:t>
      </w:r>
      <w:r>
        <w:rPr>
          <w:rStyle w:val="default"/>
          <w:rFonts w:cs="FrankRuehl" w:hint="cs"/>
          <w:rtl/>
        </w:rPr>
        <w:t>.</w:t>
      </w:r>
    </w:p>
    <w:p w14:paraId="5AA17188" w14:textId="77777777" w:rsidR="00A07C66" w:rsidRDefault="00A07C66" w:rsidP="00A07C66">
      <w:pPr>
        <w:pStyle w:val="P00"/>
        <w:spacing w:before="72"/>
        <w:ind w:left="0" w:right="1134"/>
        <w:rPr>
          <w:rStyle w:val="default"/>
          <w:rFonts w:cs="FrankRuehl"/>
          <w:rtl/>
        </w:rPr>
      </w:pPr>
      <w:bookmarkStart w:id="9" w:name="Seif10"/>
      <w:bookmarkEnd w:id="9"/>
      <w:r>
        <w:rPr>
          <w:rFonts w:cs="Miriam"/>
          <w:lang w:val="he-IL"/>
        </w:rPr>
        <w:pict w14:anchorId="1A0CB208">
          <v:rect id="_x0000_s1363" style="position:absolute;left:0;text-align:left;margin-left:464.35pt;margin-top:7.1pt;width:75.05pt;height:13.85pt;z-index:251661824" o:allowincell="f" filled="f" stroked="f" strokecolor="lime" strokeweight=".25pt">
            <v:textbox style="mso-next-textbox:#_x0000_s1363" inset="0,0,0,0">
              <w:txbxContent>
                <w:p w14:paraId="50F57810" w14:textId="77777777" w:rsidR="00A07C66" w:rsidRDefault="00AD5A49" w:rsidP="00A07C66">
                  <w:pPr>
                    <w:spacing w:line="160" w:lineRule="exact"/>
                    <w:rPr>
                      <w:rFonts w:cs="Miriam" w:hint="cs"/>
                      <w:sz w:val="18"/>
                      <w:szCs w:val="18"/>
                      <w:rtl/>
                    </w:rPr>
                  </w:pPr>
                  <w:r>
                    <w:rPr>
                      <w:rFonts w:cs="Miriam" w:hint="cs"/>
                      <w:sz w:val="18"/>
                      <w:szCs w:val="18"/>
                      <w:rtl/>
                    </w:rPr>
                    <w:t>הוראת מעבר</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AD5A49">
        <w:rPr>
          <w:rStyle w:val="default"/>
          <w:rFonts w:cs="FrankRuehl" w:hint="cs"/>
          <w:rtl/>
        </w:rPr>
        <w:t>(א)</w:t>
      </w:r>
      <w:r w:rsidR="00AD5A49">
        <w:rPr>
          <w:rStyle w:val="default"/>
          <w:rFonts w:cs="FrankRuehl"/>
          <w:rtl/>
        </w:rPr>
        <w:tab/>
      </w:r>
      <w:r w:rsidR="00AD5A49">
        <w:rPr>
          <w:rStyle w:val="default"/>
          <w:rFonts w:cs="FrankRuehl" w:hint="cs"/>
          <w:rtl/>
        </w:rPr>
        <w:t>הוראות תקנות אלו תחולנה על טובין תפוסים שטרם הוחרמו, הוגשו לגביהם טענות, ערב יום התחילה של תקנות אלו והמחזיק בהם עובר לתפיסתם פעל כמפורט בסעיף 10(ב)</w:t>
      </w:r>
      <w:r w:rsidR="00FB6A3B">
        <w:rPr>
          <w:rStyle w:val="default"/>
          <w:rFonts w:cs="FrankRuehl" w:hint="cs"/>
          <w:rtl/>
        </w:rPr>
        <w:t>.</w:t>
      </w:r>
    </w:p>
    <w:p w14:paraId="7E8D4E3C" w14:textId="77777777" w:rsidR="00AD5A49" w:rsidRDefault="00AD5A49"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המחזיק בטובין עובר לתפיסתם כאמור בסעיף 10(א), יהיה רשאי, בתוך 30 ימים מיום התחילה של תקנות אלו, להגיש את טענותיו בכתב לוועדה, וכן לבקש להופיע בפניה, כאמור בתקנה 3.</w:t>
      </w:r>
    </w:p>
    <w:p w14:paraId="0DFF6037" w14:textId="77777777" w:rsidR="00A07C66" w:rsidRDefault="00A07C66" w:rsidP="00A07C66">
      <w:pPr>
        <w:pStyle w:val="P00"/>
        <w:spacing w:before="72"/>
        <w:ind w:left="0" w:right="1134"/>
        <w:rPr>
          <w:rStyle w:val="default"/>
          <w:rFonts w:cs="FrankRuehl"/>
          <w:rtl/>
        </w:rPr>
      </w:pPr>
      <w:bookmarkStart w:id="10" w:name="Seif11"/>
      <w:bookmarkEnd w:id="10"/>
      <w:r>
        <w:rPr>
          <w:rFonts w:cs="Miriam"/>
          <w:lang w:val="he-IL"/>
        </w:rPr>
        <w:pict w14:anchorId="7416A176">
          <v:rect id="_x0000_s1364" style="position:absolute;left:0;text-align:left;margin-left:464.35pt;margin-top:7.1pt;width:75.05pt;height:12.1pt;z-index:251662848" o:allowincell="f" filled="f" stroked="f" strokecolor="lime" strokeweight=".25pt">
            <v:textbox style="mso-next-textbox:#_x0000_s1364" inset="0,0,0,0">
              <w:txbxContent>
                <w:p w14:paraId="04997C23" w14:textId="77777777" w:rsidR="00A07C66" w:rsidRDefault="00AD5A49" w:rsidP="00A07C66">
                  <w:pPr>
                    <w:spacing w:line="160" w:lineRule="exact"/>
                    <w:rPr>
                      <w:rFonts w:cs="Miriam" w:hint="cs"/>
                      <w:sz w:val="18"/>
                      <w:szCs w:val="18"/>
                      <w:rtl/>
                    </w:rPr>
                  </w:pPr>
                  <w:r>
                    <w:rPr>
                      <w:rFonts w:cs="Miriam" w:hint="cs"/>
                      <w:sz w:val="18"/>
                      <w:szCs w:val="18"/>
                      <w:rtl/>
                    </w:rPr>
                    <w:t>השם</w:t>
                  </w:r>
                </w:p>
              </w:txbxContent>
            </v:textbox>
            <w10:anchorlock/>
          </v:rect>
        </w:pict>
      </w:r>
      <w:r>
        <w:rPr>
          <w:rStyle w:val="big-number"/>
          <w:rFonts w:cs="Miriam" w:hint="cs"/>
          <w:rtl/>
        </w:rPr>
        <w:t>1</w:t>
      </w:r>
      <w:r w:rsidR="009D65AB">
        <w:rPr>
          <w:rStyle w:val="big-number"/>
          <w:rFonts w:cs="Miriam" w:hint="cs"/>
          <w:rtl/>
        </w:rPr>
        <w:t>1</w:t>
      </w:r>
      <w:r>
        <w:rPr>
          <w:rStyle w:val="default"/>
          <w:rFonts w:cs="FrankRuehl"/>
          <w:rtl/>
        </w:rPr>
        <w:t>.</w:t>
      </w:r>
      <w:r>
        <w:rPr>
          <w:rStyle w:val="default"/>
          <w:rFonts w:cs="FrankRuehl"/>
          <w:rtl/>
        </w:rPr>
        <w:tab/>
      </w:r>
      <w:r w:rsidR="00AD5A49">
        <w:rPr>
          <w:rStyle w:val="default"/>
          <w:rFonts w:cs="FrankRuehl" w:hint="cs"/>
          <w:rtl/>
        </w:rPr>
        <w:t>תקנות אלה ייקראו: "תקנות בדבר הוראות ביטחון (סדרי עבודתה של הוועדה לבחינת תפיסת טובין), התשע"ז-2017</w:t>
      </w:r>
      <w:r w:rsidR="009D65AB">
        <w:rPr>
          <w:rStyle w:val="default"/>
          <w:rFonts w:cs="FrankRuehl" w:hint="cs"/>
          <w:rtl/>
        </w:rPr>
        <w:t>.</w:t>
      </w:r>
    </w:p>
    <w:p w14:paraId="191AE0BF" w14:textId="77777777" w:rsidR="00CE42E9" w:rsidRDefault="00CE42E9" w:rsidP="00911999">
      <w:pPr>
        <w:pStyle w:val="sig-0"/>
        <w:tabs>
          <w:tab w:val="clear" w:pos="4820"/>
          <w:tab w:val="center" w:pos="5670"/>
        </w:tabs>
        <w:spacing w:before="72"/>
        <w:ind w:left="0" w:right="1134"/>
        <w:rPr>
          <w:rFonts w:cs="FrankRuehl"/>
          <w:sz w:val="26"/>
          <w:rtl/>
        </w:rPr>
      </w:pPr>
    </w:p>
    <w:p w14:paraId="372CACCB" w14:textId="77777777" w:rsidR="00063691" w:rsidRDefault="00063691" w:rsidP="00911999">
      <w:pPr>
        <w:pStyle w:val="sig-0"/>
        <w:tabs>
          <w:tab w:val="clear" w:pos="4820"/>
          <w:tab w:val="center" w:pos="5670"/>
        </w:tabs>
        <w:spacing w:before="72"/>
        <w:ind w:left="0" w:right="1134"/>
        <w:rPr>
          <w:rFonts w:cs="FrankRuehl"/>
          <w:sz w:val="26"/>
          <w:rtl/>
        </w:rPr>
      </w:pPr>
    </w:p>
    <w:p w14:paraId="47EDC46F" w14:textId="77777777" w:rsidR="00911999" w:rsidRDefault="00AD5A49" w:rsidP="00B753F4">
      <w:pPr>
        <w:pStyle w:val="sig-0"/>
        <w:tabs>
          <w:tab w:val="clear" w:pos="4820"/>
          <w:tab w:val="center" w:pos="5670"/>
        </w:tabs>
        <w:spacing w:before="72"/>
        <w:ind w:left="0" w:right="1134"/>
        <w:rPr>
          <w:rFonts w:cs="FrankRuehl" w:hint="cs"/>
          <w:sz w:val="26"/>
          <w:rtl/>
        </w:rPr>
      </w:pPr>
      <w:r>
        <w:rPr>
          <w:rFonts w:cs="FrankRuehl" w:hint="cs"/>
          <w:sz w:val="26"/>
          <w:rtl/>
        </w:rPr>
        <w:t>י"א בסיוון התשע"ז (5 ביוני 2017</w:t>
      </w:r>
      <w:r w:rsidR="00911999">
        <w:rPr>
          <w:rFonts w:cs="FrankRuehl" w:hint="cs"/>
          <w:sz w:val="26"/>
          <w:rtl/>
        </w:rPr>
        <w:t>)</w:t>
      </w:r>
      <w:r w:rsidR="00911999">
        <w:rPr>
          <w:rFonts w:cs="FrankRuehl" w:hint="cs"/>
          <w:sz w:val="26"/>
          <w:rtl/>
        </w:rPr>
        <w:tab/>
      </w:r>
      <w:r>
        <w:rPr>
          <w:rFonts w:cs="FrankRuehl" w:hint="cs"/>
          <w:sz w:val="26"/>
          <w:rtl/>
        </w:rPr>
        <w:t>רוני נומה, אלוף</w:t>
      </w:r>
    </w:p>
    <w:p w14:paraId="0795A441" w14:textId="77777777" w:rsidR="00B753F4"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AD5A49">
        <w:rPr>
          <w:rFonts w:cs="FrankRuehl" w:hint="cs"/>
          <w:sz w:val="22"/>
          <w:szCs w:val="22"/>
          <w:rtl/>
        </w:rPr>
        <w:t>מפקד כוחות צה"ל</w:t>
      </w:r>
      <w:r w:rsidR="00AD3C82">
        <w:rPr>
          <w:rFonts w:cs="FrankRuehl" w:hint="cs"/>
          <w:sz w:val="22"/>
          <w:szCs w:val="22"/>
          <w:rtl/>
        </w:rPr>
        <w:t xml:space="preserve"> </w:t>
      </w:r>
    </w:p>
    <w:p w14:paraId="12CB017F" w14:textId="77777777" w:rsidR="00911999" w:rsidRPr="00911999" w:rsidRDefault="00B753F4" w:rsidP="00911999">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אזור יהודה והשומרון</w:t>
      </w:r>
    </w:p>
    <w:p w14:paraId="11051B3D" w14:textId="77777777" w:rsidR="00D8080E" w:rsidRDefault="00D8080E" w:rsidP="00911999">
      <w:pPr>
        <w:pStyle w:val="sig-0"/>
        <w:spacing w:before="72"/>
        <w:ind w:left="0" w:right="1134"/>
        <w:rPr>
          <w:rFonts w:cs="FrankRuehl"/>
          <w:sz w:val="26"/>
          <w:rtl/>
        </w:rPr>
      </w:pPr>
    </w:p>
    <w:p w14:paraId="0BF2AC2F" w14:textId="77777777" w:rsidR="00AD3C82" w:rsidRDefault="00AD3C82" w:rsidP="00911999">
      <w:pPr>
        <w:pStyle w:val="sig-0"/>
        <w:spacing w:before="72"/>
        <w:ind w:left="0" w:right="1134"/>
        <w:rPr>
          <w:rFonts w:cs="FrankRuehl"/>
          <w:sz w:val="26"/>
          <w:rtl/>
        </w:rPr>
      </w:pPr>
    </w:p>
    <w:p w14:paraId="77C44350" w14:textId="77777777" w:rsidR="00D90AD7" w:rsidRDefault="00D90AD7" w:rsidP="00911999">
      <w:pPr>
        <w:pStyle w:val="sig-0"/>
        <w:spacing w:before="72"/>
        <w:ind w:left="0" w:right="1134"/>
        <w:rPr>
          <w:rFonts w:cs="FrankRuehl"/>
          <w:sz w:val="26"/>
          <w:rtl/>
        </w:rPr>
      </w:pPr>
    </w:p>
    <w:p w14:paraId="3F5755C4" w14:textId="77777777" w:rsidR="00D90AD7" w:rsidRDefault="00D90AD7" w:rsidP="00911999">
      <w:pPr>
        <w:pStyle w:val="sig-0"/>
        <w:spacing w:before="72"/>
        <w:ind w:left="0" w:right="1134"/>
        <w:rPr>
          <w:rFonts w:cs="FrankRuehl"/>
          <w:sz w:val="26"/>
          <w:rtl/>
        </w:rPr>
      </w:pPr>
    </w:p>
    <w:p w14:paraId="148203DE" w14:textId="77777777" w:rsidR="00D90AD7" w:rsidRDefault="00D90AD7" w:rsidP="00D90AD7">
      <w:pPr>
        <w:pStyle w:val="sig-0"/>
        <w:spacing w:before="72"/>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5ADB0FF2" w14:textId="77777777" w:rsidR="00AD3C82" w:rsidRPr="00D90AD7" w:rsidRDefault="00AD3C82" w:rsidP="00D90AD7">
      <w:pPr>
        <w:pStyle w:val="sig-0"/>
        <w:spacing w:before="72"/>
        <w:ind w:left="0" w:right="1134"/>
        <w:jc w:val="center"/>
        <w:rPr>
          <w:rFonts w:cs="David"/>
          <w:color w:val="0000FF"/>
          <w:sz w:val="26"/>
          <w:szCs w:val="24"/>
          <w:u w:val="single"/>
          <w:rtl/>
        </w:rPr>
      </w:pPr>
    </w:p>
    <w:sectPr w:rsidR="00AD3C82" w:rsidRPr="00D90AD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58E8B" w14:textId="77777777" w:rsidR="00CA06CC" w:rsidRDefault="00CA06CC">
      <w:r>
        <w:separator/>
      </w:r>
    </w:p>
  </w:endnote>
  <w:endnote w:type="continuationSeparator" w:id="0">
    <w:p w14:paraId="2AB36C35" w14:textId="77777777" w:rsidR="00CA06CC" w:rsidRDefault="00CA0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7A660"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2E6A8B0"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E22C6C"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F5149"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90AD7">
      <w:rPr>
        <w:rFonts w:hAnsi="FrankRuehl" w:cs="FrankRuehl"/>
        <w:noProof/>
        <w:sz w:val="24"/>
        <w:szCs w:val="24"/>
        <w:rtl/>
      </w:rPr>
      <w:t>3</w:t>
    </w:r>
    <w:r>
      <w:rPr>
        <w:rFonts w:hAnsi="FrankRuehl" w:cs="FrankRuehl"/>
        <w:sz w:val="24"/>
        <w:szCs w:val="24"/>
        <w:rtl/>
      </w:rPr>
      <w:fldChar w:fldCharType="end"/>
    </w:r>
  </w:p>
  <w:p w14:paraId="797E2AFE"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444B6E"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33CA" w14:textId="77777777" w:rsidR="00CA06CC" w:rsidRDefault="00CA06CC">
      <w:pPr>
        <w:pStyle w:val="a5"/>
        <w:spacing w:before="60"/>
        <w:ind w:right="1134"/>
        <w:rPr>
          <w:rFonts w:cs="David"/>
          <w:sz w:val="24"/>
          <w:szCs w:val="24"/>
        </w:rPr>
      </w:pPr>
      <w:r>
        <w:separator/>
      </w:r>
    </w:p>
  </w:footnote>
  <w:footnote w:type="continuationSeparator" w:id="0">
    <w:p w14:paraId="442DCB7D" w14:textId="77777777" w:rsidR="00CA06CC" w:rsidRDefault="00CA06CC">
      <w:pPr>
        <w:spacing w:before="60"/>
        <w:ind w:right="1134"/>
      </w:pPr>
      <w:r>
        <w:separator/>
      </w:r>
    </w:p>
  </w:footnote>
  <w:footnote w:id="1">
    <w:p w14:paraId="7AC3FEC2" w14:textId="77777777" w:rsidR="005A7849" w:rsidRPr="00366DD7" w:rsidRDefault="005A44D6" w:rsidP="005A78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CE42E9">
        <w:rPr>
          <w:rFonts w:cs="FrankRuehl" w:hint="cs"/>
          <w:rtl/>
        </w:rPr>
        <w:t>מו</w:t>
      </w:r>
      <w:r>
        <w:rPr>
          <w:rFonts w:cs="FrankRuehl" w:hint="cs"/>
          <w:rtl/>
        </w:rPr>
        <w:t xml:space="preserve"> </w:t>
      </w:r>
      <w:hyperlink r:id="rId1" w:history="1">
        <w:r w:rsidRPr="005A7849">
          <w:rPr>
            <w:rStyle w:val="Hyperlink"/>
            <w:rFonts w:cs="FrankRuehl" w:hint="cs"/>
            <w:rtl/>
          </w:rPr>
          <w:t xml:space="preserve">קובץ המנשרים מס' </w:t>
        </w:r>
        <w:r w:rsidR="0021569F" w:rsidRPr="005A7849">
          <w:rPr>
            <w:rStyle w:val="Hyperlink"/>
            <w:rFonts w:cs="FrankRuehl" w:hint="cs"/>
            <w:rtl/>
          </w:rPr>
          <w:t>246</w:t>
        </w:r>
      </w:hyperlink>
      <w:r>
        <w:rPr>
          <w:rFonts w:cs="FrankRuehl" w:hint="cs"/>
          <w:rtl/>
        </w:rPr>
        <w:t xml:space="preserve"> </w:t>
      </w:r>
      <w:r w:rsidR="0021569F">
        <w:rPr>
          <w:rFonts w:cs="FrankRuehl" w:hint="cs"/>
          <w:rtl/>
        </w:rPr>
        <w:t>מחודש מאי 2018</w:t>
      </w:r>
      <w:r>
        <w:rPr>
          <w:rFonts w:cs="FrankRuehl" w:hint="cs"/>
          <w:rtl/>
        </w:rPr>
        <w:t xml:space="preserve"> עמ' </w:t>
      </w:r>
      <w:r w:rsidR="00D8080E">
        <w:rPr>
          <w:rFonts w:cs="FrankRuehl" w:hint="cs"/>
          <w:rtl/>
        </w:rPr>
        <w:t>8339</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4A58"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F52D46E"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AC5E39"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CF62" w14:textId="77777777" w:rsidR="005A44D6" w:rsidRDefault="00CE42E9"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D8080E">
      <w:rPr>
        <w:rFonts w:hAnsi="FrankRuehl" w:cs="FrankRuehl" w:hint="cs"/>
        <w:color w:val="000000"/>
        <w:sz w:val="28"/>
        <w:szCs w:val="28"/>
        <w:rtl/>
      </w:rPr>
      <w:t>בדבר הוראות ביטחון (סדרי עבודתה של הוועדה לבחינת תפיסת טובין</w:t>
    </w:r>
    <w:r w:rsidR="008E4871">
      <w:rPr>
        <w:rFonts w:hAnsi="FrankRuehl" w:cs="FrankRuehl" w:hint="cs"/>
        <w:color w:val="000000"/>
        <w:sz w:val="28"/>
        <w:szCs w:val="28"/>
        <w:rtl/>
      </w:rPr>
      <w:t>)</w:t>
    </w:r>
    <w:r w:rsidR="005A44D6">
      <w:rPr>
        <w:rFonts w:hAnsi="FrankRuehl" w:cs="FrankRuehl" w:hint="cs"/>
        <w:color w:val="000000"/>
        <w:sz w:val="28"/>
        <w:szCs w:val="28"/>
        <w:rtl/>
      </w:rPr>
      <w:t xml:space="preserve"> (יהודה והשומרון), </w:t>
    </w:r>
    <w:r w:rsidR="0021569F">
      <w:rPr>
        <w:rFonts w:hAnsi="FrankRuehl" w:cs="FrankRuehl" w:hint="cs"/>
        <w:color w:val="000000"/>
        <w:sz w:val="28"/>
        <w:szCs w:val="28"/>
        <w:rtl/>
      </w:rPr>
      <w:t>תשע"</w:t>
    </w:r>
    <w:r>
      <w:rPr>
        <w:rFonts w:hAnsi="FrankRuehl" w:cs="FrankRuehl" w:hint="cs"/>
        <w:color w:val="000000"/>
        <w:sz w:val="28"/>
        <w:szCs w:val="28"/>
        <w:rtl/>
      </w:rPr>
      <w:t>ז</w:t>
    </w:r>
    <w:r w:rsidR="0021569F">
      <w:rPr>
        <w:rFonts w:hAnsi="FrankRuehl" w:cs="FrankRuehl" w:hint="cs"/>
        <w:color w:val="000000"/>
        <w:sz w:val="28"/>
        <w:szCs w:val="28"/>
        <w:rtl/>
      </w:rPr>
      <w:t>-201</w:t>
    </w:r>
    <w:r w:rsidR="00D8080E">
      <w:rPr>
        <w:rFonts w:hAnsi="FrankRuehl" w:cs="FrankRuehl" w:hint="cs"/>
        <w:color w:val="000000"/>
        <w:sz w:val="28"/>
        <w:szCs w:val="28"/>
        <w:rtl/>
      </w:rPr>
      <w:t>7</w:t>
    </w:r>
  </w:p>
  <w:p w14:paraId="5540A091"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5CBCD5"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6865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35631"/>
    <w:rsid w:val="00060158"/>
    <w:rsid w:val="00063691"/>
    <w:rsid w:val="00066390"/>
    <w:rsid w:val="00070A3B"/>
    <w:rsid w:val="00070DB7"/>
    <w:rsid w:val="000752E2"/>
    <w:rsid w:val="00076B97"/>
    <w:rsid w:val="000B2E3C"/>
    <w:rsid w:val="000C4192"/>
    <w:rsid w:val="000E5669"/>
    <w:rsid w:val="0012098B"/>
    <w:rsid w:val="00120B4B"/>
    <w:rsid w:val="001417D2"/>
    <w:rsid w:val="001566AF"/>
    <w:rsid w:val="00161FB8"/>
    <w:rsid w:val="00164CE3"/>
    <w:rsid w:val="00167F45"/>
    <w:rsid w:val="00171444"/>
    <w:rsid w:val="00175C1E"/>
    <w:rsid w:val="001956C4"/>
    <w:rsid w:val="001A4EF1"/>
    <w:rsid w:val="001C16D7"/>
    <w:rsid w:val="001C4F84"/>
    <w:rsid w:val="001C5197"/>
    <w:rsid w:val="001D2729"/>
    <w:rsid w:val="001D326B"/>
    <w:rsid w:val="001E3CA0"/>
    <w:rsid w:val="001F07F4"/>
    <w:rsid w:val="00203DF4"/>
    <w:rsid w:val="002053AF"/>
    <w:rsid w:val="00212726"/>
    <w:rsid w:val="0021569F"/>
    <w:rsid w:val="00216BB9"/>
    <w:rsid w:val="002200A5"/>
    <w:rsid w:val="0022095D"/>
    <w:rsid w:val="00225D12"/>
    <w:rsid w:val="00226334"/>
    <w:rsid w:val="00231D1F"/>
    <w:rsid w:val="00252181"/>
    <w:rsid w:val="00253756"/>
    <w:rsid w:val="00253D46"/>
    <w:rsid w:val="0027044A"/>
    <w:rsid w:val="0027455F"/>
    <w:rsid w:val="00283EF9"/>
    <w:rsid w:val="00295AE6"/>
    <w:rsid w:val="002C53D7"/>
    <w:rsid w:val="002C7CA3"/>
    <w:rsid w:val="002E532F"/>
    <w:rsid w:val="002F483E"/>
    <w:rsid w:val="00330638"/>
    <w:rsid w:val="00337B5A"/>
    <w:rsid w:val="00342BB5"/>
    <w:rsid w:val="00362B5A"/>
    <w:rsid w:val="00366DD7"/>
    <w:rsid w:val="003A3DCD"/>
    <w:rsid w:val="003B2BA1"/>
    <w:rsid w:val="003E631F"/>
    <w:rsid w:val="00416846"/>
    <w:rsid w:val="00422588"/>
    <w:rsid w:val="00445513"/>
    <w:rsid w:val="004B01BB"/>
    <w:rsid w:val="004B3ACE"/>
    <w:rsid w:val="00551EE0"/>
    <w:rsid w:val="0055782C"/>
    <w:rsid w:val="0059458E"/>
    <w:rsid w:val="005A44D6"/>
    <w:rsid w:val="005A4581"/>
    <w:rsid w:val="005A7849"/>
    <w:rsid w:val="005D0B6E"/>
    <w:rsid w:val="005E626F"/>
    <w:rsid w:val="00676224"/>
    <w:rsid w:val="006852E3"/>
    <w:rsid w:val="006B3393"/>
    <w:rsid w:val="006C2E68"/>
    <w:rsid w:val="006E03A8"/>
    <w:rsid w:val="006F25D4"/>
    <w:rsid w:val="00722F79"/>
    <w:rsid w:val="007315F5"/>
    <w:rsid w:val="0073717C"/>
    <w:rsid w:val="00750287"/>
    <w:rsid w:val="007722EA"/>
    <w:rsid w:val="007810DD"/>
    <w:rsid w:val="007A4322"/>
    <w:rsid w:val="007E55CF"/>
    <w:rsid w:val="007F38BA"/>
    <w:rsid w:val="008344B0"/>
    <w:rsid w:val="008472ED"/>
    <w:rsid w:val="00847791"/>
    <w:rsid w:val="008738AD"/>
    <w:rsid w:val="008764AB"/>
    <w:rsid w:val="008A4C16"/>
    <w:rsid w:val="008A7AD5"/>
    <w:rsid w:val="008B677C"/>
    <w:rsid w:val="008C3F50"/>
    <w:rsid w:val="008C4B4A"/>
    <w:rsid w:val="008D4C6E"/>
    <w:rsid w:val="008D6158"/>
    <w:rsid w:val="008E4871"/>
    <w:rsid w:val="008F1423"/>
    <w:rsid w:val="00903F0D"/>
    <w:rsid w:val="00911999"/>
    <w:rsid w:val="0091422C"/>
    <w:rsid w:val="009377E0"/>
    <w:rsid w:val="00963708"/>
    <w:rsid w:val="00964792"/>
    <w:rsid w:val="009B4756"/>
    <w:rsid w:val="009D65AB"/>
    <w:rsid w:val="009F1245"/>
    <w:rsid w:val="00A07C66"/>
    <w:rsid w:val="00A154F1"/>
    <w:rsid w:val="00A273DB"/>
    <w:rsid w:val="00A410E7"/>
    <w:rsid w:val="00A46F6E"/>
    <w:rsid w:val="00A80DFC"/>
    <w:rsid w:val="00A81805"/>
    <w:rsid w:val="00AB2703"/>
    <w:rsid w:val="00AC0312"/>
    <w:rsid w:val="00AC7870"/>
    <w:rsid w:val="00AD21FA"/>
    <w:rsid w:val="00AD3C82"/>
    <w:rsid w:val="00AD5A49"/>
    <w:rsid w:val="00B01E76"/>
    <w:rsid w:val="00B115BA"/>
    <w:rsid w:val="00B60784"/>
    <w:rsid w:val="00B65E7A"/>
    <w:rsid w:val="00B753F4"/>
    <w:rsid w:val="00B831A9"/>
    <w:rsid w:val="00B91D00"/>
    <w:rsid w:val="00B97EA9"/>
    <w:rsid w:val="00BA1195"/>
    <w:rsid w:val="00BD1211"/>
    <w:rsid w:val="00BE2A44"/>
    <w:rsid w:val="00BF0122"/>
    <w:rsid w:val="00C32A0D"/>
    <w:rsid w:val="00C3798C"/>
    <w:rsid w:val="00C43871"/>
    <w:rsid w:val="00C52536"/>
    <w:rsid w:val="00C544E6"/>
    <w:rsid w:val="00C67430"/>
    <w:rsid w:val="00C71695"/>
    <w:rsid w:val="00C72900"/>
    <w:rsid w:val="00C93C4A"/>
    <w:rsid w:val="00CA06CC"/>
    <w:rsid w:val="00CA2BB3"/>
    <w:rsid w:val="00CB0788"/>
    <w:rsid w:val="00CC0D05"/>
    <w:rsid w:val="00CE01DC"/>
    <w:rsid w:val="00CE42E9"/>
    <w:rsid w:val="00CE6730"/>
    <w:rsid w:val="00D019EB"/>
    <w:rsid w:val="00D0326C"/>
    <w:rsid w:val="00D306C4"/>
    <w:rsid w:val="00D36C0B"/>
    <w:rsid w:val="00D632D4"/>
    <w:rsid w:val="00D63639"/>
    <w:rsid w:val="00D63DE1"/>
    <w:rsid w:val="00D8080E"/>
    <w:rsid w:val="00D861ED"/>
    <w:rsid w:val="00D86C81"/>
    <w:rsid w:val="00D90AD7"/>
    <w:rsid w:val="00D92047"/>
    <w:rsid w:val="00D93A30"/>
    <w:rsid w:val="00DC310F"/>
    <w:rsid w:val="00E2067E"/>
    <w:rsid w:val="00E27270"/>
    <w:rsid w:val="00E27D9A"/>
    <w:rsid w:val="00E36A59"/>
    <w:rsid w:val="00E614C2"/>
    <w:rsid w:val="00EB5B6E"/>
    <w:rsid w:val="00EF1697"/>
    <w:rsid w:val="00F00F34"/>
    <w:rsid w:val="00F26BF1"/>
    <w:rsid w:val="00F313BE"/>
    <w:rsid w:val="00F47E73"/>
    <w:rsid w:val="00F605BA"/>
    <w:rsid w:val="00F844D8"/>
    <w:rsid w:val="00F84585"/>
    <w:rsid w:val="00F871A1"/>
    <w:rsid w:val="00F92118"/>
    <w:rsid w:val="00FA513A"/>
    <w:rsid w:val="00FA5206"/>
    <w:rsid w:val="00FB6A3B"/>
    <w:rsid w:val="00FC5B07"/>
    <w:rsid w:val="00FE2C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4A21961"/>
  <w15:chartTrackingRefBased/>
  <w15:docId w15:val="{D1650FC9-EE7D-4677-B419-8B88FFBB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5034</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5905</CharactersWithSpaces>
  <SharedDoc>false</SharedDoc>
  <HLinks>
    <vt:vector size="78" baseType="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1638525</vt:i4>
      </vt:variant>
      <vt:variant>
        <vt:i4>0</vt:i4>
      </vt:variant>
      <vt:variant>
        <vt:i4>0</vt:i4>
      </vt:variant>
      <vt:variant>
        <vt:i4>5</vt:i4>
      </vt:variant>
      <vt:variant>
        <vt:lpwstr>http://www.nevo.co.il/Law_word/law70/zava-0246.pdf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בדבר הוראות ביטחון (סדרי עבודתה של הוועדה לבחינת תפיסת טובין) (יהודה והשומרון), תשע"ז-2017</vt:lpwstr>
  </property>
  <property fmtid="{D5CDD505-2E9C-101B-9397-08002B2CF9AE}" pid="4" name="LAWNUMBER">
    <vt:lpwstr>0084</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https://www.nevo.co.il/law_html/law70/zava-246.pdf;‎רשומות - תקנות קמצ"מ#פורסמו קובץ ‏המנשרים מס' 246 #מחודש מאי 2018 עמ' 8339‏</vt:lpwstr>
  </property>
</Properties>
</file>