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36fb9586ba4d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בדבר שיפוט בתי דין רבניים (יהודה והשומרון) (מס' 981), תשמ"ב-1982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בתי דין רבניים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דיינים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בעלי הדין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מושב ואזורי שיפוט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דין, סדרי ודיני ראיות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בפסק</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בינלאומי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נישואין וגירושין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בתי משפט מקומיים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הצו בדבר הקמת מינהל אזרחי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צו בדבר שיפוט בתי דין רבניים (יהודה והשומרון) (מס' 981), תשמ"ב-1982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כמפקד כוחות צה"ל באזור והואיל ואני סבור כי הדבר דרוש לצורך הממשל התקין, אני מצווה בזאת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מי שמכהן כמנהל בתי הדין הרבניים בישראל ושראש המינהל האזרחי מינה אותו להיות רשות מוסמכת לענין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"בתי דין רבניים" – בתי דין רבניים אזוריים ובית דין רבני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האזור" – מי שמקום מגוריו הקבוע באזור.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בתי דין רבניים</w:t>
                </w:r>
              </w:p>
            </w:txbxContent>
          </v:textbox>
        </v:rect>
      </w:pict>
      <w:r>
        <w:rPr>
          <w:lang w:bidi="he-IL"/>
          <w:rFonts w:hint="cs" w:cs="FrankRuehl"/>
          <w:szCs w:val="34"/>
          <w:rtl/>
        </w:rPr>
        <w:t xml:space="preserve">2.</w:t>
      </w:r>
      <w:r>
        <w:rPr>
          <w:lang w:bidi="he-IL"/>
          <w:rFonts w:hint="cs" w:cs="FrankRuehl"/>
          <w:szCs w:val="26"/>
          <w:rtl/>
        </w:rPr>
        <w:tab/>
        <w:t xml:space="preserve">ראש המינהל האזרחי רשאי להקים בתי דין רבניים אזוריים ובית דין רבני לערעורים.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דיינים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ראש המינהל האזרחי רשאי למנות את דייני בתי הדין הרבניים לאחר שנועץ ברשות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המינהל האזרחי רשאי למנות דיינים לצורך הדיונים המתנהלים בבתי דין רבניים אזוריים בשבתו במקום מושב מיוחד כאמור בסעיף 5(ב), לאחר שנועץ ברשות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כדיינים בבתי דין רבניים אזוריים יתמנו דיינים המכהנים כדיינים בבתי דין רבניים אזוריים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כדיינים בבית הדין הרבני לערעורים יתמנו דיינים המכהנים בבית הדין הרבני הגדול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ראש המינהל האזרחי רשאי למנות בכל בית דין רבני אזורי אב בית דין מקרב הדיינים של אותו 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כאב בית הדין יתמנה מי שמכהן כאב בית דין או כראש אבות בתי דין בבית דין רבני אזורי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כנשיא בית הדין לערעורים ישמש מי שמכהן כנשיא בבית הדין הרבני הגדול בישראל, ושראש המינהל האזרחי מינה אותו להיות נשיא בית הדין הרבני לערעורים.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בעלי הדין</w:t>
                </w:r>
              </w:p>
            </w:txbxContent>
          </v:textbox>
        </v:rect>
      </w:pict>
      <w:r>
        <w:rPr>
          <w:lang w:bidi="he-IL"/>
          <w:rFonts w:hint="cs" w:cs="FrankRuehl"/>
          <w:szCs w:val="34"/>
          <w:rtl/>
        </w:rPr>
        <w:t xml:space="preserve">4.</w:t>
      </w:r>
      <w:r>
        <w:rPr>
          <w:lang w:bidi="he-IL"/>
          <w:rFonts w:hint="cs" w:cs="FrankRuehl"/>
          <w:szCs w:val="26"/>
          <w:rtl/>
        </w:rPr>
        <w:tab/>
        <w:t xml:space="preserve">בעל דין לפני בית דין רבני רשאי להיות מיוצג על ידי מי שהוסמך לייצג בעל דין בפני בית דין רבני בישראל.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מושב ואזורי שיפוט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מקום מושבם של בתי הדין הרבניים, ואם יופעלו יותר מבית דין רבני אזורי אחד – אזורי שיפוטם, יקבעו ע"י ראש המינהל האזרחי לאחר שנועץ ברשות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רשאית לקבוע לבתי דין רבניים אזוריים, בדונם במקרים מהמפורטים בסעיף 7, מקום שיפוט מיוחד.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דין, סדרי ודיני ראיות</w:t>
                </w:r>
              </w:p>
            </w:txbxContent>
          </v:textbox>
        </v:rect>
      </w:pict>
      <w:r>
        <w:rPr>
          <w:lang w:bidi="he-IL"/>
          <w:rFonts w:hint="cs" w:cs="FrankRuehl"/>
          <w:szCs w:val="34"/>
          <w:rtl/>
        </w:rPr>
        <w:t xml:space="preserve">6.</w:t>
      </w:r>
      <w:r>
        <w:rPr>
          <w:lang w:bidi="he-IL"/>
          <w:rFonts w:hint="cs" w:cs="FrankRuehl"/>
          <w:szCs w:val="26"/>
          <w:rtl/>
        </w:rPr>
        <w:tab/>
        <w:t xml:space="preserve">לבתי הדין הרבניים יהיו השיפוט והסמכויות כשל בתי הדין הרבניים בישראל, והם ידונו בעניינים שלפניהם לפי הדין, סדרי הדין ודיני הראיות הנהוגים בבתי הדין הרבניים בישראל.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בפסק</w:t>
                </w:r>
              </w:p>
            </w:txbxContent>
          </v:textbox>
        </v:rect>
      </w:pict>
      <w:r>
        <w:rPr>
          <w:lang w:bidi="he-IL"/>
          <w:rFonts w:hint="cs" w:cs="FrankRuehl"/>
          <w:szCs w:val="34"/>
          <w:rtl/>
        </w:rPr>
        <w:t xml:space="preserve">6א.</w:t>
      </w:r>
      <w:r>
        <w:rPr>
          <w:lang w:bidi="he-IL"/>
          <w:rFonts w:hint="cs" w:cs="FrankRuehl"/>
          <w:szCs w:val="26"/>
          <w:rtl/>
        </w:rPr>
        <w:tab/>
        <w:t xml:space="preserve">פסק דין סופי, צו או החלטה שניתנו כדין בעניין אזרחי על ידי בית דין רבני בישראל ועליו אישור בית הדין כאמור, יוכר באזור, באישור בית דין רבני שהוקם לפי צו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בינלאומי</w:t>
                </w:r>
              </w:p>
            </w:txbxContent>
          </v:textbox>
        </v:rect>
      </w:pict>
      <w:r>
        <w:rPr>
          <w:lang w:bidi="he-IL"/>
          <w:rFonts w:hint="cs" w:cs="FrankRuehl"/>
          <w:szCs w:val="34"/>
          <w:rtl/>
        </w:rPr>
        <w:t xml:space="preserve">7.</w:t>
      </w:r>
      <w:r>
        <w:rPr>
          <w:lang w:bidi="he-IL"/>
          <w:rFonts w:hint="cs" w:cs="FrankRuehl"/>
          <w:szCs w:val="26"/>
          <w:rtl/>
        </w:rPr>
        <w:tab/>
        <w:t xml:space="preserve">בתי דין רבניים ידונו בעניינים של יהודים: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תושבי האזור;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כשאחד מהם הינו תושב האזור והאחר תושב אזור אחר המוחזק ע"י צה"ל או ישראל;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הצורך לדון בענינם התעורר באזור;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כשכל הצדדים הביעו הסכמתם לשיפוט של בית הדין.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נישואין וגירושין</w:t>
                </w:r>
              </w:p>
            </w:txbxContent>
          </v:textbox>
        </v:rect>
      </w:pict>
      <w:r>
        <w:rPr>
          <w:lang w:bidi="he-IL"/>
          <w:rFonts w:hint="cs" w:cs="FrankRuehl"/>
          <w:szCs w:val="34"/>
          <w:rtl/>
        </w:rPr>
        <w:t xml:space="preserve">8.</w:t>
      </w:r>
      <w:r>
        <w:rPr>
          <w:lang w:bidi="he-IL"/>
          <w:rFonts w:hint="cs" w:cs="FrankRuehl"/>
          <w:szCs w:val="26"/>
          <w:rtl/>
        </w:rPr>
        <w:tab/>
        <w:t xml:space="preserve">נישואין וגירושין של יהודים יערכו באזור על פי דין תורה.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בתי משפט מקומיים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בתי משפט מקומיים לא יהיו מוסמכים לדון בעניני המעמד האישי של יהודים.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
"בתי משפט מקומיים" – כמשמעותם בצו בדבר בתי משפט מקומיים (יהודה והשומרון) (מס' 412), תש"ל-1970;
"עניני המעמד האישי" – כמשמעותם בסעיף 5 לחוק המועצות הדתיות הבלתי מוסלמיות מס' 2 לשנת 1938.</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10.</w:t>
      </w:r>
      <w:r>
        <w:rPr>
          <w:lang w:bidi="he-IL"/>
          <w:rFonts w:hint="cs" w:cs="FrankRuehl"/>
          <w:szCs w:val="26"/>
          <w:rtl/>
        </w:rPr>
        <w:tab/>
        <w:t xml:space="preserve">ראש המינהל האזרחי ממונה על ביצוע הצו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10א.</w:t>
      </w:r>
      <w:r>
        <w:rPr>
          <w:lang w:bidi="he-IL"/>
          <w:rFonts w:hint="cs" w:cs="FrankRuehl"/>
          <w:szCs w:val="26"/>
          <w:rtl/>
        </w:rPr>
        <w:tab/>
        <w:t xml:space="preserve">בתי הדין הרבניים יהיו רשאים לגבות אגרות בהתאם לשיעורים ולסכומים הנהוגים בבתי הדין הרבניים בישראל, כפי שנקבעו מעת לעת בישראל.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הצו בדבר הקמת מינהל אזרחי</w:t>
                </w:r>
              </w:p>
            </w:txbxContent>
          </v:textbox>
        </v:rect>
      </w:pict>
      <w:r>
        <w:rPr>
          <w:lang w:bidi="he-IL"/>
          <w:rFonts w:hint="cs" w:cs="FrankRuehl"/>
          <w:szCs w:val="34"/>
          <w:rtl/>
        </w:rPr>
        <w:t xml:space="preserve">11.</w:t>
      </w:r>
      <w:r>
        <w:rPr>
          <w:lang w:bidi="he-IL"/>
          <w:rFonts w:hint="cs" w:cs="FrankRuehl"/>
          <w:szCs w:val="26"/>
          <w:rtl/>
        </w:rPr>
        <w:tab/>
        <w:t xml:space="preserve">בצו בדבר הקמת מינהל אזרחי (יהודה והשומרון) (מס' 947), התשמ"ב-1981, בתוספת השניה, בסופה יבוא: "צו בדבר שיפוט בתי דין רבניים (יהודה והשומרון) (מס' 981) התשמ"ב-1982".</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12.</w:t>
      </w:r>
      <w:r>
        <w:rPr>
          <w:lang w:bidi="he-IL"/>
          <w:rFonts w:hint="cs" w:cs="FrankRuehl"/>
          <w:szCs w:val="26"/>
          <w:rtl/>
        </w:rPr>
        <w:tab/>
        <w:t xml:space="preserve">תחילתו של צו זה ביום חתימתו.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צו זה יקרא: "צו בדבר שיפוט בתי דין רבניים (יהודה והשומרון) (מס' 981) התשמ"ב-1982".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אור, אלוף</w:t>
                </w:r>
              </w:p>
              <w:p>
                <w:pPr>
                  <w:bidi/>
                  <w:spacing w:before="45" w:after="3" w:line="250" w:lineRule="auto"/>
                  <w:jc w:val="center"/>
                </w:pPr>
                <w:defaultTabStop w:val="720"/>
                <w:r>
                  <w:rPr>
                    <w:lang w:bidi="he-IL"/>
                    <w:rFonts w:hint="cs" w:cs="FrankRuehl"/>
                    <w:szCs w:val="22"/>
                    <w:rtl/>
                  </w:rPr>
                  <w:t xml:space="preserve">מפקד כוחות צה"לבאזור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בדבר שיפוט בתי דין רבניים (יהודה והשומרון) (מס' 981), תשמ"ב-1982,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cb725e200d849ad" /><Relationship Type="http://schemas.openxmlformats.org/officeDocument/2006/relationships/header" Target="/word/header1.xml" Id="r97" /><Relationship Type="http://schemas.openxmlformats.org/officeDocument/2006/relationships/footer" Target="/word/footer1.xml" Id="r98" /></Relationships>
</file>