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d949acbc411b41c5"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בדבר הוראות ביטחון (חילוט רכוש בהליך פלילי בעבירת הלבנת הון), תשפ"ב-2022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לצו חילוט פלילי</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על החלטת חילוט ומועד להגשת טענות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הדיון בבקשה לצו חילוט פלילי</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על צו חילוט פלילי</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דרך המצאת הודעה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צו חילוט</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ערעור</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נוכחות הטוען לזכות ברכוש בערעור</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חילוט רכוש אחר</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השם</w:t>
                </w:r>
              </w:p>
            </w:tc>
            <w:tc>
              <w:tcPr>
                <w:tcW w:w="800" w:type="pct"/>
              </w:tcPr>
              <w:p>
                <w:pPr>
                  <w:bidi/>
                  <w:spacing w:before="45" w:after="5" w:line="250" w:lineRule="auto"/>
                </w:pPr>
                <w:defaultTabStop w:val="720"/>
                <w:r>
                  <w:rPr>
                    <w:lang w:bidi="he-IL"/>
                    <w:rFonts w:hint="cs" w:cs="Times New Roman"/>
                    <w:szCs w:val="24"/>
                    <w:rtl/>
                  </w:rPr>
                  <w:t xml:space="preserve">סעיף 12</w:t>
                </w:r>
              </w:p>
            </w:tc>
          </w:tr>
        </w:tbl>
        <w:br w:type="page"/>
      </w:r>
    </w:p>
    <w:p>
      <w:pPr>
        <w:bidi/>
        <w:spacing w:before="45" w:after="70" w:line="250" w:lineRule="auto"/>
        <w:jc w:val="center"/>
      </w:pPr>
      <w:defaultTabStop w:val="720"/>
      <w:r>
        <w:rPr>
          <w:lang w:bidi="he-IL"/>
          <w:rFonts w:hint="cs" w:cs="FrankRuehl"/>
          <w:szCs w:val="32"/>
          <w:rtl/>
        </w:rPr>
        <w:t xml:space="preserve">תקנות בדבר הוראות ביטחון (חילוט רכוש בהליך פלילי בעבירת הלבנת הון), תשפ"ב-2022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65(ח) לצו בדבר הוראות ביטחון [נוסח משולב] (יהודה והשומרון) (מס' 1651), התש"ע-2009 (להלן: "הצו"),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"פרטי זיהוי של אדם"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w:t>
      </w:r>
      <w:r>
        <w:rPr>
          <w:lang w:bidi="he-IL"/>
          <w:rFonts w:hint="cs" w:cs="FrankRuehl"/>
          <w:szCs w:val="26"/>
          <w:rtl/>
        </w:rPr>
        <w:tab/>
        <w:t xml:space="preserve">שם פרטי, שם האב, שם הסב, ושם משפחה;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מספר זהותו וסוג התעודה שממנה נרשם המספר;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המען, ואם האדם נמצא במשמורת – מקום כליאתו, ולצדם – המיקוד;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"צו חילוט פלילי" – צו חילוט רכוש כמשמעותו בסעיף 65 לצו;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"תובע" – כמשמעותו בסעיף 75 לצו.</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לצו חילוט פלילי</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בקשה לצו חילוט פלילי תציין את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פרטי הזיהוי של הרכוש המיועד לחילוט בציון סוגו, כמותו, מיקומו וכל פרט אחר שנדרש לזיהויו, לפי הענין;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פרטי הזיהוי של מי שטוען לזכות ברכוש;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העילה שבשלה מבקשים את החילוט.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בקשה לתיקון כתב האישום כאמור בסעיף 65(ד)(5) לצו תציין את הפרטים האמורים בתקנת משנה (א).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הודעה על בקשה למתן צו חילוט או על תיקון כתב אישום כאמור בתקנת משנה (ב) תומצא בידי התובע לכל מי שטוען לזכות ברכוש; להודעה יצורף כתב האישום או נוסחו המתוקן, לפי הענין.</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על החלטת חילוט ומועד להגשת טענות</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הורשע הנידון כאמור בסעיף 65(ד) לצו, תומצא הודעה על כך מטעם בית המשפט למי שטוען לזכות ברכוש והוא יוזמן להשמיע את טענותיו במועד ובמקום שנקבעו לבירור הבקשה לחילוט הרכוש.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נידון וטוען לזכות ברכוש יגישו לבית המשפט ולתובע, לא יאוחר מעשרה ימים לפני המועד שנקבע לדיון בבקשת החילוט תצהיר ובו יפרטו את טענותיהם לגבי הרכוש; לתצהיר יצורפו כל המסמכים התומכים בטענותיהם, לרבות נסחי רישום, מסמכים המעידים על דרך רכישתו של הרכוש ועל התשלום בעדו, וכן לענין הפרכת החזקה לפי סעיף 65(ד)(2) לצו – פרטי הזיהוי של בעל הרכוש.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ביקשו הנידון או הטוען לזכות ברכוש מבית המשפט לקבוע מועד אחר להשמיע את טענותיהם, ינמקו את בקשתם ויצרפו תצהיר לאימות נימוקיהם; הבקשה תוגש לבית המשפט לא יאוחר מעשרה ימים מהמועד שנקבע לדיון בבקשת החילוט; בית המשפט יחליט בבקשה לפי תקנת משנה זו בטרם הגיע המועד שנקבע לדיון בבקשת החילוט.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אף האמור בתקנת משנה (ג), רשאי בית המשפט, מטעמים מיוחדים שירשמו, לקבוע מועד אחר לדיון בבקשת החילוט אף אם הבקשה לשינוי המועד לא הוגשה בהתאם לתקנת משנה (ג).</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הדיון בבקשה לצו חילוט פלילי</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הדיון בבקשה לצו חילוט פלילי יתקיים בטרם יביא התובע ראיות לקביעת העונש כאמור בסעיף 129 לצו, אלא אם סבר בית המשפט אחרת מנימוקים שיכתבו.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בדיון בבקשה, תנמק תחילה התביעה את בקשתה לחילוט הרכוש; אחריה ישמיע הנידון את טענותיו ויביא את ראיותיו ואחריו יעשה כן כל מי שטוען לזכות ברכוש; אחריהם יטען התובע ויביא את ראיותיו לסתור את טענותיהם של הנידון ושל הטוען לזכות ברכוש; ברשות בית המשפט רשאים הנידון והטוען לזכות ברכוש להגיב לטענות התביעה ולעדיה.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החלטת בית המשפט בבקשה לצו חילוט פלילי תיכלל בגזר הדין.</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על צו חילוט פלילי</w:t>
                </w:r>
              </w:p>
            </w:txbxContent>
          </v:textbox>
        </v:rect>
      </w:pict>
      <w:r>
        <w:rPr>
          <w:lang w:bidi="he-IL"/>
          <w:rFonts w:hint="cs" w:cs="FrankRuehl"/>
          <w:szCs w:val="34"/>
          <w:rtl/>
        </w:rPr>
        <w:t xml:space="preserve">5.</w:t>
      </w:r>
      <w:r>
        <w:rPr>
          <w:lang w:bidi="he-IL"/>
          <w:rFonts w:hint="cs" w:cs="FrankRuehl"/>
          <w:szCs w:val="26"/>
          <w:rtl/>
        </w:rPr>
        <w:tab/>
        <w:t xml:space="preserve">ניתן צו חילוט פלילי, תומצא הודעה על כך מטעם בית המשפט למי שטוען לזכות ברכוש; העתק של פסק הדין שבו ניתן צו החילוט יצורף להודעה.</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דרך המצאת הודעה</w:t>
                </w:r>
              </w:p>
            </w:txbxContent>
          </v:textbox>
        </v:rect>
      </w:pict>
      <w:r>
        <w:rPr>
          <w:lang w:bidi="he-IL"/>
          <w:rFonts w:hint="cs" w:cs="FrankRuehl"/>
          <w:szCs w:val="34"/>
          <w:rtl/>
        </w:rPr>
        <w:t xml:space="preserve">6.</w:t>
      </w:r>
      <w:r>
        <w:rPr>
          <w:lang w:bidi="he-IL"/>
          <w:rFonts w:hint="cs" w:cs="FrankRuehl"/>
          <w:szCs w:val="26"/>
          <w:rtl/>
        </w:rPr>
        <w:tab/>
        <w:t xml:space="preserve">הודעה לפי תקנות 2, 3, 5 ו-10 תומצא בדרך שממציאים מסמך לפי סעיף 106 לצו.</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צו חילוט</w:t>
                </w:r>
              </w:p>
            </w:txbxContent>
          </v:textbox>
        </v:rect>
      </w:pict>
      <w:r>
        <w:rPr>
          <w:lang w:bidi="he-IL"/>
          <w:rFonts w:hint="cs" w:cs="FrankRuehl"/>
          <w:szCs w:val="34"/>
          <w:rtl/>
        </w:rPr>
        <w:t xml:space="preserve">7.</w:t>
      </w:r>
      <w:r>
        <w:rPr>
          <w:lang w:bidi="he-IL"/>
          <w:rFonts w:hint="cs" w:cs="FrankRuehl"/>
          <w:szCs w:val="26"/>
          <w:rtl/>
        </w:rPr>
        <w:tab/>
        <w:t xml:space="preserve">אין לבצע צו חילוט פלילי אלא לאחר שפסק הדין שבו הוא ניתן היה לחלוט.</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ערעור</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ערעור של מפקד כוחות צה"ל באזור או של הנידון על צו חילוט פלילי או ערעור של מפקד כוחות צה"ל באזור על החלטת בית המשפט שלא לתת צו חילוט פלילי יצוין במפורש בהודעת הערעור לפי סעיף 153 לצו.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הודעה על ערעור על צו חילוט פלילי תומצא מטעם בית המשפט למי שטען לזכות ברכוש ויצורף לה העתק של הודעת הערעור.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הודעה על ערעור מפקד כוחות צה"ל באזור על החלטת בית המשפט שלא לתת צו חילוט פלילי תומצא מטעם בית המשפט למי שטען לזכות ברכוש והוא יוזמן מטעם בית המשפט להשמיע את טענותיו בקשר לרכוש.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בענין שאינו מוסדר בתקנות אלה יחולו על ערעור לפי תקנה זו הוראות סימן ח' לפרק ה' לצו; לענין סדר הטענות בערעור, יטען מי שטוען לזכות ברכוש אחרי הנידון; העתק מפסק הדין בערעור יימסר גם לטוען לזכות ברכוש.</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נוכחות הטוען לזכות ברכוש בערעור</w:t>
                </w:r>
              </w:p>
            </w:txbxContent>
          </v:textbox>
        </v:rect>
      </w:pict>
      <w:r>
        <w:rPr>
          <w:lang w:bidi="he-IL"/>
          <w:rFonts w:hint="cs" w:cs="FrankRuehl"/>
          <w:szCs w:val="34"/>
          <w:rtl/>
        </w:rPr>
        <w:t xml:space="preserve">9.</w:t>
      </w:r>
      <w:r>
        <w:rPr>
          <w:lang w:bidi="he-IL"/>
          <w:rFonts w:hint="cs" w:cs="FrankRuehl"/>
          <w:szCs w:val="26"/>
          <w:rtl/>
        </w:rPr>
        <w:tab/>
        <w:t xml:space="preserve">הוזמן הטוען לזכות ברכוש לדיון בערעור ולא התייצב, רשאי בית המשפט לדון בערעור ולהחליט בו גם בהעדרו.</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חילוט רכוש אחר</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ניתן צו חילוט פלילי ולאחר מכן הוברר כי התקיימה אחת העילות המנויות בסעיף 65(ו) לצו, רשאי פרקליט אזור יהודה והשומרון או מי שהסמיכו לכך לבקש, בכתב, מבית משפט שהחליט על החילוט, לחלט רכוש אחר של מי שלגבי רכושו ניתן הצו; בקשה לפי תקנת משנה זו תציין את העילה שבשלה מבקשים לשנות את הצו, בציון פרטי הזיהוי של הרכוש שלגביו ניתן צו החילוט והרכוש המחליף אם הוא ידוע, לרבות ערכו לפי הערכתו של שמאי; הבקשה תהיה נתמכת בתצהיר ויצורפו אליה כל המסמכים התומכים בבקשה.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החליט בית המשפט לחלט רכוש אחר במקום או בנוסף לרכוש שלגביו ניתן צו החילוט המקורי, תימסר הודעה על כך מטעם בית המשפט למפקד כוחות צה"ל באזור.</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11.</w:t>
      </w:r>
      <w:r>
        <w:rPr>
          <w:lang w:bidi="he-IL"/>
          <w:rFonts w:hint="cs" w:cs="FrankRuehl"/>
          <w:szCs w:val="26"/>
          <w:rtl/>
        </w:rPr>
        <w:tab/>
        <w:t xml:space="preserve">תחילתן של תקנות אלו ביום חתימתן.</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השם</w:t>
                </w:r>
              </w:p>
            </w:txbxContent>
          </v:textbox>
        </v:rect>
      </w:pict>
      <w:r>
        <w:rPr>
          <w:lang w:bidi="he-IL"/>
          <w:rFonts w:hint="cs" w:cs="FrankRuehl"/>
          <w:szCs w:val="34"/>
          <w:rtl/>
        </w:rPr>
        <w:t xml:space="preserve">12.</w:t>
      </w:r>
      <w:r>
        <w:rPr>
          <w:lang w:bidi="he-IL"/>
          <w:rFonts w:hint="cs" w:cs="FrankRuehl"/>
          <w:szCs w:val="26"/>
          <w:rtl/>
        </w:rPr>
        <w:tab/>
        <w:t xml:space="preserve">תקנות אלו ייקראו: "התקנות בדבר הוראות ביטחון (חילוט רכוש בהליך פלילי בעבירת הלבנת הון), התשפ"ב-2022".</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אלוף יהודה פוקס</w:t>
                </w:r>
              </w:p>
              <w:p>
                <w:pPr>
                  <w:bidi/>
                  <w:spacing w:before="45" w:after="3" w:line="250" w:lineRule="auto"/>
                  <w:jc w:val="center"/>
                </w:pPr>
                <w:defaultTabStop w:val="720"/>
                <w:r>
                  <w:rPr>
                    <w:lang w:bidi="he-IL"/>
                    <w:rFonts w:hint="cs" w:cs="FrankRuehl"/>
                    <w:szCs w:val="22"/>
                    <w:rtl/>
                  </w:rPr>
                  <w:t xml:space="preserve">מפקד כוחות צה"לבאזור יהודה והשומרון</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בדבר הוראות ביטחון (חילוט רכוש בהליך פלילי בעבירת הלבנת הון), תשפ"ב-2022, נוסח עדכני נכון ליום 22.09.2022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d99d2841d42e4846" /><Relationship Type="http://schemas.openxmlformats.org/officeDocument/2006/relationships/header" Target="/word/header1.xml" Id="r97" /><Relationship Type="http://schemas.openxmlformats.org/officeDocument/2006/relationships/footer" Target="/word/footer1.xml" Id="r98" /></Relationships>
</file>