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292920b12746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ועדות העררים (אגרות) (יהודה ושומרון),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להגשת ערר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מתשלום 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בדבר ועדות העררים (אגרות) (יהודה ושומרון),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8א לצו בדבר ועדות עררים (יהודה ושומרון) (מס' 172), התשכ"ח-1967 (להלן – הצו) ולפי סעיף 4(ב) לצו בדבר הקמת מינהל אזרחי (יהודה ושומרון) (מס' 947), התשמ"ב-1981, הנני מתקין בזאת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העררים" – הוועדה או הוועדות שהוקמו מכוח סעיף 1 לצו.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להגשת ערר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בעבור הגשת ערר לוועדת העררים לפי פרטים בתוספת לצו, תשולם אגרה על סך 1,000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בעבור הגשת ערר לוועדת העררים לפי פרטים שאינם מנויים בסעיף קטן (א), תשולם אגרה על סך 150 שקלים חדשים.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מתשלום אגרה</w:t>
                </w:r>
              </w:p>
            </w:txbxContent>
          </v:textbox>
        </v:rect>
      </w:pict>
      <w:r>
        <w:rPr>
          <w:lang w:bidi="he-IL"/>
          <w:rFonts w:hint="cs" w:cs="FrankRuehl"/>
          <w:szCs w:val="34"/>
          <w:rtl/>
        </w:rPr>
        <w:t xml:space="preserve">3.</w:t>
      </w:r>
      <w:r>
        <w:rPr>
          <w:lang w:bidi="he-IL"/>
          <w:rFonts w:hint="cs" w:cs="FrankRuehl"/>
          <w:szCs w:val="26"/>
          <w:rtl/>
        </w:rPr>
        <w:tab/>
        <w:t xml:space="preserve">מגיש ערר לפי תקנה 2, הטוען שאין ביכולתו לשלם אגרה, יצרף לערר, עם הגשתו, בקשה לפטור מתשלום אגרה, בצירוף תצהיר שיפרט בו את רכושו, רכוש בן זוגו או הוריו אם הוא סמוך על שולחנם, וכן מקורות הכנסתו בששת החודשים האחרונים שקדמו למועד הגשת הבקשה לפטור מאגרה; הוגשה בקשה לפטור מאגרה כאמור, רשאית ועדת העררים לתת למבקש, במקרים חריגים ומנימוקים שיירשמו, פטור מלא או חלקי מתשלום אגרה, אם השתכנעה כי אין ביכולתו לשלם את האגרה, בהתחשב בהכנסותיו, ברכושו ובחובותיו המוכחים.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בדבר ועדות העררים (אגרות) (יהודה ושומרון), התשמ"ב-1982 – בטלות.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6.</w:t>
      </w:r>
      <w:r>
        <w:rPr>
          <w:lang w:bidi="he-IL"/>
          <w:rFonts w:hint="cs" w:cs="FrankRuehl"/>
          <w:szCs w:val="26"/>
          <w:rtl/>
        </w:rPr>
        <w:tab/>
        <w:t xml:space="preserve">תקנות אלו ייקראו: "תקנות בדבר ועדות העררים (אגרות) (יהודה ושומרון), התשפ"ב-2021".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תת-אלוף פארס עטילה</w:t>
                </w:r>
              </w:p>
              <w:p>
                <w:pPr>
                  <w:bidi/>
                  <w:spacing w:before="45" w:after="3" w:line="250" w:lineRule="auto"/>
                  <w:jc w:val="center"/>
                </w:pPr>
                <w:defaultTabStop w:val="720"/>
                <w:r>
                  <w:rPr>
                    <w:lang w:bidi="he-IL"/>
                    <w:rFonts w:hint="cs" w:cs="FrankRuehl"/>
                    <w:szCs w:val="22"/>
                    <w:rtl/>
                  </w:rPr>
                  <w:t xml:space="preserve">ראש המנהל האזרחיבאזור יהודה ושומרון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ועדות העררים (אגרות) (יהודה ושומרון),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c4d10290c049dc" /><Relationship Type="http://schemas.openxmlformats.org/officeDocument/2006/relationships/header" Target="/word/header1.xml" Id="r97" /><Relationship Type="http://schemas.openxmlformats.org/officeDocument/2006/relationships/footer" Target="/word/footer1.xml" Id="r98" /></Relationships>
</file>