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e34e7094c3949d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בדבר תשלום אגרה בשל בקשה לרישיון (עסקאות במקרקעין) (אגרות) (יהודה ושומרון), תשפ"א-2021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תשלום אגרה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תוקף</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בדבר תשלום אגרה בשל בקשה לרישיון (עסקאות במקרקעין) (אגרות) (יהודה ושומרון), תשפ"א-2021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3א לצו בדבר עסקאות במקרקעין (יהודה ושומרון) (מס' 25), התשכ"ז-1967 (להלן – הצו), הנני מתקין תקנות אלו:</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תשלום אגרה</w:t>
                </w:r>
              </w:p>
            </w:txbxContent>
          </v:textbox>
        </v:rect>
      </w:pict>
      <w:r>
        <w:rPr>
          <w:lang w:bidi="he-IL"/>
          <w:rFonts w:hint="cs" w:cs="FrankRuehl"/>
          <w:szCs w:val="34"/>
          <w:rtl/>
        </w:rPr>
        <w:t xml:space="preserve">1.</w:t>
      </w:r>
      <w:r>
        <w:rPr>
          <w:lang w:bidi="he-IL"/>
          <w:rFonts w:hint="cs" w:cs="FrankRuehl"/>
          <w:szCs w:val="26"/>
          <w:rtl/>
        </w:rPr>
        <w:tab/>
        <w:t xml:space="preserve">לא יינתן רישיון מהרשות המוסמכת על פי בקשה כאמור בסעיף 2 לצו, מבלי ששולמה תחילה האגרה שנקבעה לאותה בקשה בתקנה 2.</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בעד הגשת בקשה לרישיון לפי סעיף 2 לצו, תשולם אגרה על סך 38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בעד הגשת בקשה לרישיון שבגינה הוטלה אגרה לפי פרט 10 בתוספת לתקנות בדבר אגרות רישום מקרקעין [נוסח משולב] (יהודה ושומרון), התשס"ט-2009 – לא תשולם האגרה הקבועה בתקנת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(א), בעד הגשת בקשה לרישיון שבגינה הוטלה אגרה לפי תקנות לחוק לתיקון הוראות הקשורות בנכסי דלא ניידי, מס' 51 לשנת 1958 (בקשות לתיקון רישום שטח וגבולות) (יהודה ושומרון), התשע"ט-2019 – לא תשולם האגרה הקבועה בתקנת משנה (א).</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תוקף</w:t>
                </w:r>
              </w:p>
            </w:txbxContent>
          </v:textbox>
        </v:rect>
      </w:pict>
      <w:r>
        <w:rPr>
          <w:lang w:bidi="he-IL"/>
          <w:rFonts w:hint="cs" w:cs="FrankRuehl"/>
          <w:szCs w:val="34"/>
          <w:rtl/>
        </w:rPr>
        <w:t xml:space="preserve">3.</w:t>
      </w:r>
      <w:r>
        <w:rPr>
          <w:lang w:bidi="he-IL"/>
          <w:rFonts w:hint="cs" w:cs="FrankRuehl"/>
          <w:szCs w:val="26"/>
          <w:rtl/>
        </w:rPr>
        <w:tab/>
        <w:t xml:space="preserve">תחילת תוקפן של תקנות אלו ביום חתימתן.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4.</w:t>
      </w:r>
      <w:r>
        <w:rPr>
          <w:lang w:bidi="he-IL"/>
          <w:rFonts w:hint="cs" w:cs="FrankRuehl"/>
          <w:szCs w:val="26"/>
          <w:rtl/>
        </w:rPr>
        <w:tab/>
        <w:t xml:space="preserve">תקנות בדבר תשלום אגרה בשל בקשה לרישיון (עסקות במקרקעים) (יהודה ושומרון), התשמ"ג-1983 – בטלות.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5.</w:t>
      </w:r>
      <w:r>
        <w:rPr>
          <w:lang w:bidi="he-IL"/>
          <w:rFonts w:hint="cs" w:cs="FrankRuehl"/>
          <w:szCs w:val="26"/>
          <w:rtl/>
        </w:rPr>
        <w:tab/>
        <w:t xml:space="preserve">תקנות אלו תיקראנה: "תקנות בדבר תשלום אגרה בשל בקשה לרישיון (עסקאות במקרקעין) (אגרות) (יהודה ושומרון), התשפ"א-2021".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תומר כרמי</w:t>
                </w:r>
              </w:p>
              <w:p>
                <w:pPr>
                  <w:bidi/>
                  <w:spacing w:before="45" w:after="3" w:line="250" w:lineRule="auto"/>
                  <w:jc w:val="center"/>
                </w:pPr>
                <w:defaultTabStop w:val="720"/>
                <w:r>
                  <w:rPr>
                    <w:lang w:bidi="he-IL"/>
                    <w:rFonts w:hint="cs" w:cs="FrankRuehl"/>
                    <w:szCs w:val="22"/>
                    <w:rtl/>
                  </w:rPr>
                  <w:t xml:space="preserve">קצין מטה לעניינירישום מקרקעין הרשות המוסמכת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בדבר תשלום אגרה בשל בקשה לרישיון (עסקאות במקרקעין) (אגרות) (יהודה ושומרון), תשפ"א-2021,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6e2181167eb4ef1" /><Relationship Type="http://schemas.openxmlformats.org/officeDocument/2006/relationships/header" Target="/word/header1.xml" Id="r97" /><Relationship Type="http://schemas.openxmlformats.org/officeDocument/2006/relationships/footer" Target="/word/footer1.xml" Id="r98" /></Relationships>
</file>