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f12c218e97d4f9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חוק לתיקון הוראות הקשורות בנכסי דלא ניידי, מס' 51 לשנת 1958 (אגרות) (יהודה ושומרון), תשפ"א-2021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תשלום אגרה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חוק לתיקון הוראות הקשורות בנכסי דלא ניידי, מס' 51 לשנת 1958 (אגרות) (יהודה ושומרון), תשפ"א-2021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12(ח) ו-16 לחוק לתיקון הוראות הקשורות בנכסי דלא ניידי, מס' 51 לשנת 1958, כפי תיקונו בצו בדבר חוק לתיקון הוראות הקשורות בנכסי דלא ניידי, מס' 51 לשנת 1958 (תיקון רישום שטח וגבולות) (יהודה והשומרון) (מס' 1815), התשע"ט-2019, ולפי הצו בדבר הקמת מינהל אזרחי (יהודה והשומרון) (מס' 947), התשמ"ב-1981, והואיל והנני סבור כי הדבר דרוש לצרכי קיום הממשל התקין ולטובת אוכלוסיית האזור, הנני מתקין תקנות אלו:</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תשלום אגרה</w:t>
                </w:r>
              </w:p>
            </w:txbxContent>
          </v:textbox>
        </v:rect>
      </w:pict>
      <w:r>
        <w:rPr>
          <w:lang w:bidi="he-IL"/>
          <w:rFonts w:hint="cs" w:cs="FrankRuehl"/>
          <w:szCs w:val="34"/>
          <w:rtl/>
        </w:rPr>
        <w:t xml:space="preserve">1.</w:t>
      </w:r>
      <w:r>
        <w:rPr>
          <w:lang w:bidi="he-IL"/>
          <w:rFonts w:hint="cs" w:cs="FrankRuehl"/>
          <w:szCs w:val="26"/>
          <w:rtl/>
        </w:rPr>
        <w:tab/>
        <w:t xml:space="preserve">לא תיעשה פעולה באשר לבקשה כהגדרתה בתקנה 1 לתקנות לחוק לתיקון הוראות הקשורות בנכסי דלא ניידי, מס' 51 לשנת 1958 (בקשות לתיקון רישום שטח וגבולות) (יהודה והשומרון), התשע"ט-2019 (להלן – בקשה לתיקון שטח וגבולות), מבלי ששולמה תחילה האגרה שנקבעה לאותה פעולה כמפורט בתקנה 2 להלן.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אגרת הגשת בקשה לתיקון שטח וגבולות – 85 שקלים חדשים, וכן 180 שקלים חדשים בעד כל דונם, או חלק ממנו, של החלקה נושא הבקשה; הגשת התנגדות לבקשה לרישום הכוללת בקשה לרישום, כמוה כבקשה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אגרת הגשת התנגדות לבקשה לרישום, אשר אינה כוללת בקשה לרישום – 100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בעת הרישום, תשולם אגרה בסך 4% ממחיר הנכס הנרשם. אם המקרקעין נרשמו על שם מגיש הבקשה לתיקון שטח וגבולות, יקוזז מסכום זה הסכום ששולם בהתאם להוראת סעיף קטן (א).</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3.</w:t>
      </w:r>
      <w:r>
        <w:rPr>
          <w:lang w:bidi="he-IL"/>
          <w:rFonts w:hint="cs" w:cs="FrankRuehl"/>
          <w:szCs w:val="26"/>
          <w:rtl/>
        </w:rPr>
        <w:tab/>
        <w:t xml:space="preserve">תחילת תוקפן של תקנות אלו ביום חתימתן.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4.</w:t>
      </w:r>
      <w:r>
        <w:rPr>
          <w:lang w:bidi="he-IL"/>
          <w:rFonts w:hint="cs" w:cs="FrankRuehl"/>
          <w:szCs w:val="26"/>
          <w:rtl/>
        </w:rPr>
        <w:tab/>
        <w:t xml:space="preserve">תקנות אלו תיקראנה: "תקנות חוק לתיקון הוראות הקשורות בנכסי דלא ניידי, מס' 51 לשנת 1958 (אגרות) (יהודה ושומרון), התשפ"א-2021".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תא"ל פארס עטילה</w:t>
                </w:r>
              </w:p>
              <w:p>
                <w:pPr>
                  <w:bidi/>
                  <w:spacing w:before="45" w:after="3" w:line="250" w:lineRule="auto"/>
                  <w:jc w:val="center"/>
                </w:pPr>
                <w:defaultTabStop w:val="720"/>
                <w:r>
                  <w:rPr>
                    <w:lang w:bidi="he-IL"/>
                    <w:rFonts w:hint="cs" w:cs="FrankRuehl"/>
                    <w:szCs w:val="22"/>
                    <w:rtl/>
                  </w:rPr>
                  <w:t xml:space="preserve">ראש המינהל האזרחיבאזור יהודה ושומרון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חוק לתיקון הוראות הקשורות בנכסי דלא ניידי, מס' 51 לשנת 1958 (אגרות) (יהודה ושומרון), תשפ"א-2021,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33b72a177024589" /><Relationship Type="http://schemas.openxmlformats.org/officeDocument/2006/relationships/header" Target="/word/header1.xml" Id="r97" /><Relationship Type="http://schemas.openxmlformats.org/officeDocument/2006/relationships/footer" Target="/word/footer1.xml" Id="r98" /></Relationships>
</file>