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ba9e0ed9515480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הודעה בדבר ייחוד נקודות מעבר טובין (יהודה והשומרון),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נקודות מעבר טובין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תוצרת חקלאית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הוצאת חומר מחצבה מהאזור לישראל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העברת טובין מפוקחים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דברי דואר</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ציוד חשמלי</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חזקה בדבר קביעת מקור או יעד הטובין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דינים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התוספות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bl>
        <w:br w:type="page"/>
      </w:r>
    </w:p>
    <w:p>
      <w:pPr>
        <w:bidi/>
        <w:spacing w:before="45" w:after="70" w:line="250" w:lineRule="auto"/>
        <w:jc w:val="center"/>
      </w:pPr>
      <w:defaultTabStop w:val="720"/>
      <w:r>
        <w:rPr>
          <w:lang w:bidi="he-IL"/>
          <w:rFonts w:hint="cs" w:cs="FrankRuehl"/>
          <w:szCs w:val="32"/>
          <w:rtl/>
        </w:rPr>
        <w:t xml:space="preserve">הודעה בדבר ייחוד נקודות מעבר טובין (יהודה והשומרון),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מכוח סעיף 2(ג) לצו בדבר הסדרת הסמכויות בנקודות מעבר (הוראת שעה) (יהודה ושומרון) (מס' 1665), התשע"א-2010 (להלן – הצו) הנני נותן הודעה זו:</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בהודעה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"דבר דואר" – כהגדרתו בפקודת בתי הדואר, 1930;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ראש מנהלת קשת צבעים ותפר בפיקוד מרכז בצה"ל;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מתלקח" – חומר דליק בכל מצב צבירה, לרבות דלק לסוגיו, כגון סולר, בנזין, נפט וכיוצא באלה וגז;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בכמות מסחרית" – טובין בכמות המעידה לכאורה על היות הטובין סחורה ליעד או לשימוש מסחרי;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"טובין מפוקחים"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כל חומר המנוי בתוספת א' ובתוספת ג' לצו בדבר פיקוח על חומרים מסויימים (יהודה והשומרון) (מס' 653), תשל"ה-1975;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טובין המנויים בתוספת הראשונה להיתר כללי להבאת טובין (יהודה והשומרון), התשס"ה-2005, שיעדם באזור אינו ישוב ישראלי או מתקן צבאי;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"ישוב ישראלי" – כל אחד מהישובים המפורטים בתוספת לצו בדבר ניהול מועצות אזוריות (יהודה והשומרון) (מס' 783), התשל"ט-1979 ובתוספת לצו בדבר ניהול מעוצות מקומיות (יהודה והשומרון) (מס' 892), התשמ"א-1981 כפי תוקפן מעת לעת, וכן אזורי התעשייה שבניהול ישראלי המפורטים בתוספת הראשונה להודעה זו, או שקיבלו היתר מאת הממונה;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"ישראלי" – תושב ישראל, מי שמקום מגוריו באזור והוא אזרח ישראלי שהוא זכאי לעלות לישראל לפי חוק השבות, התש"י-1950, כפי תוקפו בישראל, וכן מי שאינו תושב האזור, ובידו אשרת כניסה בתוקף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"מתקן צבאי" – מתקן של צה"ל, בין קבוע ובין ארעי;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חשמלי" – כהגדרתו בתקנות בדבר העברת טובין (הכנסת ציוד חשמלי) (יהודה ושומרון), התשפ"ב-2022;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"תוצרת חקלאית" – כהגדרתה בצו בדבר העברת טובין (יהודה והשומרון) (מס' 1252),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"תיעוד המפרט את מקור הטובין או יעדם" – תעודת משלוח או אמצעי אחר, אשר מנהל המעבר סבור שיש בו כדי להוכיח את מקורם או יעדם של הטובין.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נקודות מעבר טובין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הוצאת טובין בכמות מסחרית מהאזור לישראל, והבאת טובין כאמור מישראל לאזור לא תעשה אלא דרך נקודות המעבר המפורטות בתוספת השנייה להודעה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בסעיף קטן (א) לעיל, לא יחול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הוצאת טובין מהאזור לישראל אשר מקורם בישוב ישראלי או מתקן צבאי;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הבאת טובין מישראל לאזור אשר יעדם הוא ישוב ישראלי או מתקן צבאי.</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תוצרת חקלאית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הוצאת טובין מסוג תוצרת חקלאית בכמות מסחרית, שמקורם בישוב ישראלי או במתקן צבאי, מהאזור לישראל, והבאת טובין כאמור, שיעדם ישוב ישראלי או מתקן צבאי, מישראל לאזור, לא תעשה אלא דרך נקודות המעבר המפורטות בתוספות השנייה והשלישית להודעה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הוצאת טובין מסוג תוצרת חקלאית בכמות מסחרית, שמקורם איננו ביישוב ישראלי או במתקן צבאי, לא תעשה אלא דרך נקודות המעבר המפורטות בתוספת השנייה להודעה זו.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הוצאת חומר מחצבה מהאזור לישראל</w:t>
                </w:r>
              </w:p>
            </w:txbxContent>
          </v:textbox>
        </v:rect>
      </w:pict>
      <w:r>
        <w:rPr>
          <w:lang w:bidi="he-IL"/>
          <w:rFonts w:hint="cs" w:cs="FrankRuehl"/>
          <w:szCs w:val="34"/>
          <w:rtl/>
        </w:rPr>
        <w:t xml:space="preserve">4.</w:t>
      </w:r>
      <w:r>
        <w:rPr>
          <w:lang w:bidi="he-IL"/>
          <w:rFonts w:hint="cs" w:cs="FrankRuehl"/>
          <w:szCs w:val="26"/>
          <w:rtl/>
        </w:rPr>
        <w:tab/>
        <w:t xml:space="preserve">הוצאת טובין מסוג מחצבים בכמות מסחרית מהאזור לישראל לא תעשה אלא בנקודות שנקבעו בתוספת לתקנות בדבר העברת טובין (הוצאת חומר מחצבה מהאזור לישראל) (יהודה והשומרון), התשס"ט-2008.</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העברת טובין מפוקחים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הכנסת טובין מפוקחים לאזור והוצאתם לישראל לא תעשה אלא דרך נקודות המעבר ובמועדים המפורטים בתוספת הרביעית להודעה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שהוסמך ליתן היתר הבאה לטובין מפוקחים לפי כל דין, יהא מוסמך להתיר הבאה של הטובין שלא דרך נקודות המעבר ומעבר למועדים, המפורטים בתוספת הרביעית להודעה זו.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דברי דואר</w:t>
                </w:r>
              </w:p>
            </w:txbxContent>
          </v:textbox>
        </v:rect>
      </w:pict>
      <w:r>
        <w:rPr>
          <w:lang w:bidi="he-IL"/>
          <w:rFonts w:hint="cs" w:cs="FrankRuehl"/>
          <w:szCs w:val="34"/>
          <w:rtl/>
        </w:rPr>
        <w:t xml:space="preserve">5א.</w:t>
      </w:r>
      <w:r>
        <w:rPr>
          <w:lang w:bidi="he-IL"/>
          <w:rFonts w:hint="cs" w:cs="FrankRuehl"/>
          <w:szCs w:val="26"/>
          <w:rtl/>
        </w:rPr>
        <w:tab/>
        <w:t xml:space="preserve">על אף האמור בסעיף 5, הוצאת טובין מסוג דבר דואר, שמקורם אינו ביישוב ישראלי או במתקן צבאי, מהאזור, והבאת טובין כאמור, שיעדם אינו לישוב ישראלי או למתקן צבאי, לאזור, לא תעשה אלא דרך נקודות המעבר המפורטות בתוספת החמישית להודעה זו.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ציוד חשמלי</w:t>
                </w:r>
              </w:p>
            </w:txbxContent>
          </v:textbox>
        </v:rect>
      </w:pict>
      <w:r>
        <w:rPr>
          <w:lang w:bidi="he-IL"/>
          <w:rFonts w:hint="cs" w:cs="FrankRuehl"/>
          <w:szCs w:val="34"/>
          <w:rtl/>
        </w:rPr>
        <w:t xml:space="preserve">5ב.</w:t>
      </w:r>
      <w:r>
        <w:rPr>
          <w:lang w:bidi="he-IL"/>
          <w:rFonts w:hint="cs" w:cs="FrankRuehl"/>
          <w:szCs w:val="26"/>
          <w:rtl/>
        </w:rPr>
        <w:tab/>
        <w:t xml:space="preserve">על אף האמור בסעיף 5, הבאת טובין מסוג ציוד חשמלי, שיעדם אינו לישוב ישראלי או למתקן צבאי, לאזור, לא תעשה אלא דרך נקודות המעבר המפורטות בתוספת השישית להודעה זו.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חזקה בדבר קביעת מקור או יעד הטובין</w:t>
                </w:r>
              </w:p>
            </w:txbxContent>
          </v:textbox>
        </v:rect>
      </w:pict>
      <w:r>
        <w:rPr>
          <w:lang w:bidi="he-IL"/>
          <w:rFonts w:hint="cs" w:cs="FrankRuehl"/>
          <w:szCs w:val="34"/>
          <w:rtl/>
        </w:rPr>
        <w:t xml:space="preserve">6.</w:t>
      </w:r>
      <w:r>
        <w:rPr>
          <w:lang w:bidi="he-IL"/>
          <w:rFonts w:hint="cs" w:cs="FrankRuehl"/>
          <w:szCs w:val="26"/>
          <w:rtl/>
        </w:rPr>
        <w:tab/>
        <w:t xml:space="preserve">לא הוצג תיעוד המפרט את מקור הטובין או יעדם – חזקה היא שמקור הטובין או יעדם, אינם מיישוב ישראלי או מתקן צבאי.</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דינים</w:t>
                </w:r>
              </w:p>
            </w:txbxContent>
          </v:textbox>
        </v:rect>
      </w:pict>
      <w:r>
        <w:rPr>
          <w:lang w:bidi="he-IL"/>
          <w:rFonts w:hint="cs" w:cs="FrankRuehl"/>
          <w:szCs w:val="34"/>
          <w:rtl/>
        </w:rPr>
        <w:t xml:space="preserve">7.</w:t>
      </w:r>
      <w:r>
        <w:rPr>
          <w:lang w:bidi="he-IL"/>
          <w:rFonts w:hint="cs" w:cs="FrankRuehl"/>
          <w:szCs w:val="26"/>
          <w:rtl/>
        </w:rPr>
        <w:tab/>
        <w:t xml:space="preserve">"הודעה בדבר קביעת נקודות מעבר טובין (יהודה והשומרון), התשס"ח-2008" – בטלה.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התוספות</w:t>
                </w:r>
              </w:p>
            </w:txbxContent>
          </v:textbox>
        </v:rect>
      </w:pict>
      <w:r>
        <w:rPr>
          <w:lang w:bidi="he-IL"/>
          <w:rFonts w:hint="cs" w:cs="FrankRuehl"/>
          <w:szCs w:val="34"/>
          <w:rtl/>
        </w:rPr>
        <w:t xml:space="preserve">8.</w:t>
      </w:r>
      <w:r>
        <w:rPr>
          <w:lang w:bidi="he-IL"/>
          <w:rFonts w:hint="cs" w:cs="FrankRuehl"/>
          <w:szCs w:val="26"/>
          <w:rtl/>
        </w:rPr>
        <w:tab/>
        <w:t xml:space="preserve">הממונה רשאי להוסיף על התוספות להודעה זו או לגרוע מהן.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9.</w:t>
      </w:r>
      <w:r>
        <w:rPr>
          <w:lang w:bidi="he-IL"/>
          <w:rFonts w:hint="cs" w:cs="FrankRuehl"/>
          <w:szCs w:val="26"/>
          <w:rtl/>
        </w:rPr>
        <w:tab/>
        <w:t xml:space="preserve">תחילת תוקפה של הודעה זו 30 יום מיום חתימתה.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שם</w:t>
                </w:r>
              </w:p>
            </w:txbxContent>
          </v:textbox>
        </v:rect>
      </w:pict>
      <w:r>
        <w:rPr>
          <w:lang w:bidi="he-IL"/>
          <w:rFonts w:hint="cs" w:cs="FrankRuehl"/>
          <w:szCs w:val="34"/>
          <w:rtl/>
        </w:rPr>
        <w:t xml:space="preserve">10.</w:t>
      </w:r>
      <w:r>
        <w:rPr>
          <w:lang w:bidi="he-IL"/>
          <w:rFonts w:hint="cs" w:cs="FrankRuehl"/>
          <w:szCs w:val="26"/>
          <w:rtl/>
        </w:rPr>
        <w:tab/>
        <w:t xml:space="preserve">הודעה זו תקרא: "הודעה בדבר ייחוד נקודות מעבר טובין (יהודה והשומרון), התשע"ו-2016".</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1.</w:t>
      </w:r>
      <w:r>
        <w:rPr>
          <w:lang w:bidi="he-IL"/>
          <w:rFonts w:hint="cs" w:cs="FrankRuehl"/>
          <w:szCs w:val="26"/>
          <w:rtl/>
        </w:rPr>
        <w:tab/>
        <w:t xml:space="preserve">אזור התעשייה בר-און (קוצ'ין)</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2.</w:t>
      </w:r>
      <w:r>
        <w:rPr>
          <w:lang w:bidi="he-IL"/>
          <w:rFonts w:hint="cs" w:cs="FrankRuehl"/>
          <w:szCs w:val="26"/>
          <w:rtl/>
        </w:rPr>
        <w:tab/>
        <w:t xml:space="preserve">אזור התעשייה טול-כרם (המסילה)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3.</w:t>
      </w:r>
      <w:r>
        <w:rPr>
          <w:lang w:bidi="he-IL"/>
          <w:rFonts w:hint="cs" w:cs="FrankRuehl"/>
          <w:szCs w:val="26"/>
          <w:rtl/>
        </w:rPr>
        <w:tab/>
        <w:t xml:space="preserve">אזור התעשייה עמנואל</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4.</w:t>
      </w:r>
      <w:r>
        <w:rPr>
          <w:lang w:bidi="he-IL"/>
          <w:rFonts w:hint="cs" w:cs="FrankRuehl"/>
          <w:szCs w:val="26"/>
          <w:rtl/>
        </w:rPr>
        <w:tab/>
        <w:t xml:space="preserve">אזור התעשייה אריאל מערב</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5.</w:t>
      </w:r>
      <w:r>
        <w:rPr>
          <w:lang w:bidi="he-IL"/>
          <w:rFonts w:hint="cs" w:cs="FrankRuehl"/>
          <w:szCs w:val="26"/>
          <w:rtl/>
        </w:rPr>
        <w:tab/>
        <w:t xml:space="preserve">אזור התעשייה ברקן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6.</w:t>
      </w:r>
      <w:r>
        <w:rPr>
          <w:lang w:bidi="he-IL"/>
          <w:rFonts w:hint="cs" w:cs="FrankRuehl"/>
          <w:szCs w:val="26"/>
          <w:rtl/>
        </w:rPr>
        <w:tab/>
        <w:t xml:space="preserve">אזור התעשייה תל מרים (שער בנימין)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7.</w:t>
      </w:r>
      <w:r>
        <w:rPr>
          <w:lang w:bidi="he-IL"/>
          <w:rFonts w:hint="cs" w:cs="FrankRuehl"/>
          <w:szCs w:val="26"/>
          <w:rtl/>
        </w:rPr>
        <w:tab/>
        <w:t xml:space="preserve">אזור התעשייה מישור אדומים</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8.</w:t>
      </w:r>
      <w:r>
        <w:rPr>
          <w:lang w:bidi="he-IL"/>
          <w:rFonts w:hint="cs" w:cs="FrankRuehl"/>
          <w:szCs w:val="26"/>
          <w:rtl/>
        </w:rPr>
        <w:tab/>
        <w:t xml:space="preserve">אזור התעשייה מגדל עוז</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9.</w:t>
      </w:r>
      <w:r>
        <w:rPr>
          <w:lang w:bidi="he-IL"/>
          <w:rFonts w:hint="cs" w:cs="FrankRuehl"/>
          <w:szCs w:val="26"/>
          <w:rtl/>
        </w:rPr>
        <w:tab/>
        <w:t xml:space="preserve">אזור התעשייה שמעה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10.</w:t>
      </w:r>
      <w:r>
        <w:rPr>
          <w:lang w:bidi="he-IL"/>
          <w:rFonts w:hint="cs" w:cs="FrankRuehl"/>
          <w:szCs w:val="26"/>
          <w:rtl/>
        </w:rPr>
        <w:tab/>
        <w:t xml:space="preserve">אזור התעשייה שחק</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11.</w:t>
      </w:r>
      <w:r>
        <w:rPr>
          <w:lang w:bidi="he-IL"/>
          <w:rFonts w:hint="cs" w:cs="FrankRuehl"/>
          <w:szCs w:val="26"/>
          <w:rtl/>
        </w:rPr>
        <w:tab/>
        <w:t xml:space="preserve">אזור התעשייה שילה</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12.</w:t>
      </w:r>
      <w:r>
        <w:rPr>
          <w:lang w:bidi="he-IL"/>
          <w:rFonts w:hint="cs" w:cs="FrankRuehl"/>
          <w:szCs w:val="26"/>
          <w:rtl/>
        </w:rPr>
        <w:tab/>
        <w:t xml:space="preserve">אזור התעשייה מעלה אפרים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13.</w:t>
      </w:r>
      <w:r>
        <w:rPr>
          <w:lang w:bidi="he-IL"/>
          <w:rFonts w:hint="cs" w:cs="FrankRuehl"/>
          <w:szCs w:val="26"/>
          <w:rtl/>
        </w:rPr>
        <w:tab/>
        <w:t xml:space="preserve">אזור התעשייה עלי-זהב</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14.</w:t>
      </w:r>
      <w:r>
        <w:rPr>
          <w:lang w:bidi="he-IL"/>
          <w:rFonts w:hint="cs" w:cs="FrankRuehl"/>
          <w:szCs w:val="26"/>
          <w:rtl/>
        </w:rPr>
        <w:tab/>
        <w:t xml:space="preserve">אזור התעשייה אלפי מנשה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15.</w:t>
      </w:r>
      <w:r>
        <w:rPr>
          <w:lang w:bidi="he-IL"/>
          <w:rFonts w:hint="cs" w:cs="FrankRuehl"/>
          <w:szCs w:val="26"/>
          <w:rtl/>
        </w:rPr>
        <w:tab/>
        <w:t xml:space="preserve">אזור התעשייה אלקנה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16.</w:t>
      </w:r>
      <w:r>
        <w:rPr>
          <w:lang w:bidi="he-IL"/>
          <w:rFonts w:hint="cs" w:cs="FrankRuehl"/>
          <w:szCs w:val="26"/>
          <w:rtl/>
        </w:rPr>
        <w:tab/>
        <w:t xml:space="preserve">אזור התעשייה קרני שומרון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17.</w:t>
      </w:r>
      <w:r>
        <w:rPr>
          <w:lang w:bidi="he-IL"/>
          <w:rFonts w:hint="cs" w:cs="FrankRuehl"/>
          <w:szCs w:val="26"/>
          <w:rtl/>
        </w:rPr>
        <w:tab/>
        <w:t xml:space="preserve">אזור התעשייה קריית ארבע</w:t>
      </w:r>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(סעיפים 2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128b5fafcdf4ee6">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2" w:id="32"/>
      <w:bookmarkEnd w:id="3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3caf0e377124c0a">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3" w:id="33"/>
      <w:bookmarkEnd w:id="33"/>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5)</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f95684a75bb945a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2.</w:t>
      </w:r>
      <w:r>
        <w:rPr>
          <w:lang w:bidi="he-IL"/>
          <w:rFonts w:hint="cs" w:cs="FrankRuehl"/>
          <w:szCs w:val="26"/>
          <w:rtl/>
        </w:rPr>
        <w:tab/>
        <w:t xml:space="preserve"/>
      </w:r>
      <w:hyperlink xmlns:r="http://schemas.openxmlformats.org/officeDocument/2006/relationships" w:history="true" r:id="Rbcb4d5d73c544069">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6" w:id="36"/>
      <w:bookmarkEnd w:id="36"/>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423f8371bf244d5">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7" w:id="37"/>
      <w:bookmarkEnd w:id="37"/>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 w:line="250" w:lineRule="auto"/>
        <w:jc w:val="center"/>
      </w:pPr>
      <w:defaultTabStop w:val="720"/>
      <w:r>
        <w:rPr>
          <w:lang w:bidi="he-IL"/>
          <w:rFonts w:hint="cs" w:cs="FrankRuehl"/>
          <w:szCs w:val="26"/>
          <w:rtl/>
        </w:rPr>
        <w:t xml:space="preserve">(סעיף 5ב)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35fa7002e9a4c9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אחוות בן חור, תת-אלוף</w:t>
                </w:r>
              </w:p>
              <w:p>
                <w:pPr>
                  <w:bidi/>
                  <w:spacing w:before="45" w:after="3" w:line="250" w:lineRule="auto"/>
                  <w:jc w:val="center"/>
                </w:pPr>
                <w:defaultTabStop w:val="720"/>
                <w:r>
                  <w:rPr>
                    <w:lang w:bidi="he-IL"/>
                    <w:rFonts w:hint="cs" w:cs="FrankRuehl"/>
                    <w:szCs w:val="22"/>
                    <w:rtl/>
                  </w:rPr>
                  <w:t xml:space="preserve">ראש המנהל האזרחילאזור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הודעה בדבר ייחוד נקודות מעבר טובין (יהודה והשומרון), תשע"ו-2016,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60008c79c3c43b2" /><Relationship Type="http://schemas.openxmlformats.org/officeDocument/2006/relationships/hyperlink" Target="https://www.nevo.co.il/laws/#/61e7f0157ea4c6d069026da0/clause/61e7f77057fbb6c5709d60f4" TargetMode="External" Id="R5128b5fafcdf4ee6" /><Relationship Type="http://schemas.openxmlformats.org/officeDocument/2006/relationships/hyperlink" Target="https://www.nevo.co.il/laws/#/61e7f0157ea4c6d069026da0/clause/61e7f8a457fbb6c5709d611e" TargetMode="External" Id="Rb3caf0e377124c0a" /><Relationship Type="http://schemas.openxmlformats.org/officeDocument/2006/relationships/hyperlink" Target="https://www.nevo.co.il/laws/#/61e7f0157ea4c6d069026da0/clause/61e7f97457fbb6c5709d6129" TargetMode="External" Id="Rf95684a75bb945a0" /><Relationship Type="http://schemas.openxmlformats.org/officeDocument/2006/relationships/hyperlink" Target="https://www.nevo.co.il/laws/#/61e7f0157ea4c6d069026da0/clause/61e7fabf57fbb6c5709d6152" TargetMode="External" Id="Rbcb4d5d73c544069" /><Relationship Type="http://schemas.openxmlformats.org/officeDocument/2006/relationships/hyperlink" Target="https://www.nevo.co.il/laws/#/61e7f0157ea4c6d069026da0/clause/61f249c4d4deee22d48783f1" TargetMode="External" Id="R6423f8371bf244d5" /><Relationship Type="http://schemas.openxmlformats.org/officeDocument/2006/relationships/hyperlink" Target="https://www.nevo.co.il/laws/#/61e7f0157ea4c6d069026da0/clause/62936f14120eaa807d89e413" TargetMode="External" Id="R335fa7002e9a4c92" /><Relationship Type="http://schemas.openxmlformats.org/officeDocument/2006/relationships/header" Target="/word/header1.xml" Id="r97" /><Relationship Type="http://schemas.openxmlformats.org/officeDocument/2006/relationships/footer" Target="/word/footer1.xml" Id="r98" /></Relationships>
</file>