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30c1358b9b419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העברת טובין (העברת דברי דואר) (יהודה והשומרון),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הצורך בהיתר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בדבר העברת טובין (העברת דברי דואר) (יהודה והשומרון),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2א לצו בדבר העברת טובין (יהודה והשומרון) (מס' 1252), התשמ"ח-1988, הנני מורה בזאת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"דבר דואר" – כהגדרתו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שמונה על-ידי מפקד האזור לשמש ממונה לענייני דואר, כהגדרתו בצו בדבר מינויים לפי חוקי הדואר (אזור הגדה המערבית) (מס' 36), 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כללי" – היתר כללי להבאת טובין (יהודה והשומרון),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"פקודה" – פקודת בתי הדואר, 1930.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הצורך בהיתר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הכנסה לאזור או הוצאה מן האזור של דבר דואר המפורט בתוספת הראשונה להיתר הכללי – טעונה היתר מאת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הכנסה לאזור או הוצאה מן האזור של דבר דואר שיעדו או מקום מוצאו, בהתאמה, הוא יישוב או מתקן צבאי באזור כהגדרתם בהיתר כללי, או אזור תעשייה שבניהול ישראלי המפורט בתוספת הראשונה להודעה בדבר ייחוד נקודות למעבר טובין, התשע"ו-2016 – פטורה מהיתר.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לדבר הדואר היתר להכנסתו לאזור או להוצאתו מן האזור על-ידי רשות מוסמכת אחרת – יראו אותו כאילו הוא ניתן על-ידי הממונה.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w:t>
                </w:r>
              </w:p>
            </w:txbxContent>
          </v:textbox>
        </v:rect>
      </w:pict>
      <w:r>
        <w:rPr>
          <w:lang w:bidi="he-IL"/>
          <w:rFonts w:hint="cs" w:cs="FrankRuehl"/>
          <w:szCs w:val="34"/>
          <w:rtl/>
        </w:rPr>
        <w:t xml:space="preserve">3.</w:t>
      </w:r>
      <w:r>
        <w:rPr>
          <w:lang w:bidi="he-IL"/>
          <w:rFonts w:hint="cs" w:cs="FrankRuehl"/>
          <w:szCs w:val="26"/>
          <w:rtl/>
        </w:rPr>
        <w:tab/>
        <w:t xml:space="preserve">נוסף על הסמכויות הנתונות לממונה מכוח הפקודה, יהיו נתונות לו הסמכויות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סבר הממונה שדבר דואר שנשלח ללא היתר כאמור בתקנה 2 נדרש בקבלת היתר, או שהוא נשלח בניגוד להוראות תקנות אלו, יודיע הממונה, בתוך 21 ימים, לשולח ולנמען, על תפיסת דבר הדואר ועל כוונתו לחלט את דבר הדואר (להלן – הודעת כוונת חילוט); לא שלח הממונה את הודעת כוונת החילוט בתוך התקופה האמורה, ישחרר את דבר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בהודעת כוונת חילוט יצוינו תיאור דבר הדואר, פרטי השולח, פרטי הנמען, מועד התפיסה, הסיבה שבגינה שוקל הממונה את החילוט, ובנוסף תציין ההודעה את רשותם של הנמען והשולח לעשות את הפעולות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להגיש השגה כאמור בתקנה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לבקש היתר מאת הממונה, בתוך 14 ימים ממועד שליחת הודעת כוונת החילוט או ממועד פרסום הודעת כוונת החילוט באתר המרשתת;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להציג היתר מאת רשות מוסמכת, בתוך 14 ימים ממועד קבלת הודעת כוונת החילוט או ממועד פרסום הודעת כוונת החילוט באתר המרשתת, כאמור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לאחר מאמץ סביר לא ניתן היה לאתר את פרטי השולח ואת הנמען, יפרסם הממונה הודעת כוונת חילוט באתר מרשתת ייעודי, למשך 30 ימים, ובה יצוינו תאריך ההזמנה, מדינת המוצא של דבר הדואר, מדינת היעד של דבר הדואר או נפת היעד באזור, לפי העניין, מועד התפיסה ואת מספר החבילה של כל דבר דואר שנתפס; העתק מפרסום הודעת כוונת החילוט באתר יישלח אל מנהל הדואר של המדינה השולחת את דבר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חלפו התקופות המפורטות בתקנות-משנה (א) עד (ג) ולא הוגשה השגה או שהוגשה ההשגה ונדחתה ולא הוצג היתר, רשאי הממונה לחלט את דבר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חילט הממונה את דבר הדואר, רשאי הוא למסור אותו לחזקת כל רשות מוסמכת אחרת, להשמיד אותו או למכור אותו בתנאי השוק החופשי לרוכש בעל היתר כאמור בתקנה 2 מאת הרשות המוסמכת.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שולח דבר הדואר או הנמען, הרואה את עצמו נפגע מהודעת כוונת החילוט כאמור בתקנה 3, רשאי להגיש השגה בכתב על כוונת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ההשגה תוגש לממונה בתוך 30 ימים ממועד קבלת הודעת כוונת החילוט או ממועד פרסום הודעת כוונת החילוט באתר המרשתת, ויצוינו בה תיאור דבר הדואר, מקום מוצאו, התייחסות לכוונת הממונה לחלט את דבר הדואר וכל מידע אחר שיידרש על-ידי הממונה; לא פורטו בכתב ההשגה הפרטים האמורים בתקנת משנה זו – לא תידון ההשגה על ידי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לדרוש מהמשיג להעביר מסמכים או כל מידע נוסף שדרוש לשם הכרעה בהשגה, ורשאי הוא לקבוע לוחות זמנים להשלמת העברת המסמכים והמידע.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רשאי לדחות את ההשגה, לקבל אותה או לקבל אותה בתנאים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תשובת הממונה להשגה תינתן בתוך 30 ימים ממועד קבלת המסמכים והמידע הדרושים לשם הכרעה בהשגה. ראה הממונה כי לא ניתן להכריע בהשגה בתוך פרק הזמן האמור, רשאי הוא, מטעמים מיוחדים שיירשמו, להאריך את המועד למתן הכרעה בהשגה ב-30 ימים; הודעה בדבר הארכת מועד תועבר למגיש ההשגה.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5.</w:t>
      </w:r>
      <w:r>
        <w:rPr>
          <w:lang w:bidi="he-IL"/>
          <w:rFonts w:hint="cs" w:cs="FrankRuehl"/>
          <w:szCs w:val="26"/>
          <w:rtl/>
        </w:rPr>
        <w:tab/>
        <w:t xml:space="preserve">הממונה רשאי לאצול מסמכויותיו המוסדרות בתקנות אלו למי מטעמו, למעט סמכות ההאצלה כאמור בתקנה זו והסמכות לדון בהשגה כאמור בתקנה 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w:t>
      </w:r>
      <w:r>
        <w:rPr>
          <w:lang w:bidi="he-IL"/>
          <w:rFonts w:hint="cs" w:cs="FrankRuehl"/>
          <w:szCs w:val="26"/>
          <w:rtl/>
        </w:rPr>
        <w:tab/>
        <w:t xml:space="preserve">אין באמור בתקנות אלו כדי לגרוע מהאמור בחוקי הדואר, כהגדרתם בצו בדבר מינויים לפי חוקי הדואר (אזור הגדה המערבית) (מס' 36), תשכ"ז-1967.</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7.</w:t>
      </w:r>
      <w:r>
        <w:rPr>
          <w:lang w:bidi="he-IL"/>
          <w:rFonts w:hint="cs" w:cs="FrankRuehl"/>
          <w:szCs w:val="26"/>
          <w:rtl/>
        </w:rPr>
        <w:tab/>
        <w:t xml:space="preserve">דברי דואר אשר נתפסו לפני מועד תחילתן של תקנות אלו ומאוחסנים במועד תחילת תקנות אלו בנקודת מעבר ביתוניא, יראו את תפיסתם כאילו בוצעה מכוח תקנות אלו, ביום תחילת התקנות.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אלו ביום חתימתן.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תקנות אלה ייקראו: "תקנות בדבר העברת טובין (העברת דברי דואר) (יהודה והשומרון), התשפ"א-2021".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פארס עטילה, תא"ל</w:t>
                </w:r>
              </w:p>
              <w:p>
                <w:pPr>
                  <w:bidi/>
                  <w:spacing w:before="45" w:after="3" w:line="250" w:lineRule="auto"/>
                  <w:jc w:val="center"/>
                </w:pPr>
                <w:defaultTabStop w:val="720"/>
                <w:r>
                  <w:rPr>
                    <w:lang w:bidi="he-IL"/>
                    <w:rFonts w:hint="cs" w:cs="FrankRuehl"/>
                    <w:szCs w:val="22"/>
                    <w:rtl/>
                  </w:rPr>
                  <w:t xml:space="preserve">ראש המנהל האזרחיבאזור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העברת טובין (העברת דברי דואר) (יהודה והשומרון),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b29aaf372604fb2" /><Relationship Type="http://schemas.openxmlformats.org/officeDocument/2006/relationships/header" Target="/word/header1.xml" Id="r97" /><Relationship Type="http://schemas.openxmlformats.org/officeDocument/2006/relationships/footer" Target="/word/footer1.xml" Id="r98" /></Relationships>
</file>