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3ef835fdd543b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ועדות עררים (סדרי דין) (יהודה והשומרון),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ב':כתב ערר וכתב תשובה</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להגשת כתב ערר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כתב הערר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הערר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ערר על מס</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 ערר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כתב תשובה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התשובה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חוות דעת של מומחה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 כתבי הטענות ושפתם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ג':הדיון, סדרי הדין והראיות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 מותב וקביעת מועד לדיון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הצדדים וקביעת מועדים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מקדמי בערר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תוצאותיו של דיון מקדמי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משיבים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בערר בהעדר צד לדיון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בדלתיים סגורות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עדים ושמיעת עדויות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 על ידי תצהיר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העדויות וסיכומים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עדים והוצאותיהם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הדיונים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הדיון לטענות שבכתבי הטענות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הדיון בעררים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הפרדת הדיון בערר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ביניים וסעדים זמניים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הדין והראיות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ראיות ביוזמת הוועדה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הפרוטוקול</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ד':ערר במקרקעין</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א':ערר במקרקעין</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התקנות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ערר</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הערר</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מפה</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תשובה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ראיות לכתבי הטענות</w:t>
                </w:r>
              </w:p>
            </w:tc>
            <w:tc>
              <w:tcPr>
                <w:tcW w:w="800" w:type="pct"/>
              </w:tcPr>
              <w:p>
                <w:pPr>
                  <w:bidi/>
                  <w:spacing w:before="45" w:after="5" w:line="250" w:lineRule="auto"/>
                </w:pPr>
                <w:defaultTabStop w:val="720"/>
                <w:r>
                  <w:rPr>
                    <w:lang w:bidi="he-IL"/>
                    <w:rFonts w:hint="cs" w:cs="Times New Roman"/>
                    <w:szCs w:val="24"/>
                    <w:rtl/>
                  </w:rPr>
                  <w:t xml:space="preserve">סעיף 35א</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ב':ערר על רישום ראשון של מקרקעין</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החלטה אחרת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כתב הערר</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כתבי הטענות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הדין</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ה':המלצות הוועדה והחלטתה</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המלצות הוועדה והחלטתה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ו':ענינים שונים</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חבר המותב</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בשל דחיית דיון או הארכת דיון או מועד</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בסדרי הדין</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טעות סופר</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כתבי בי-דין</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דיוני הוועדה</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והוראות מעבר</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53</w:t>
                </w:r>
              </w:p>
            </w:tc>
          </w:tr>
        </w:tbl>
        <w:br w:type="page"/>
      </w:r>
    </w:p>
    <w:p>
      <w:pPr>
        <w:bidi/>
        <w:spacing w:before="45" w:after="70" w:line="250" w:lineRule="auto"/>
        <w:jc w:val="center"/>
      </w:pPr>
      <w:defaultTabStop w:val="720"/>
      <w:r>
        <w:rPr>
          <w:lang w:bidi="he-IL"/>
          <w:rFonts w:hint="cs" w:cs="FrankRuehl"/>
          <w:szCs w:val="32"/>
          <w:rtl/>
        </w:rPr>
        <w:t xml:space="preserve">תקנות בדבר ועדות עררים (סדרי דין) (יהודה והשומרון),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8(ב) לצו בדבר ועדות עררים (יהודה והשומרון) (מס' 172), התשכ"ח-1967 (להלן: "הצו"), הנני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 ועדה שהוקמה לפי סעיף 1 לצו;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הראש" – הנגיד או מי שנקבע על ידו כיושב ראש המותב או כדן יחיד לפי סעיף 3א לצו;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ערר" – כתב ערר המוגש על פי הצו, בהתאם לתקנות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תשובה" – כתב תשובה המוגש בהתאם לתקנות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"מודד מוסמך" – מי שרשאי לשמש כמודד באזור לפי כל דין ותחיקת בטחון או בעל רשיון לשמש כמודד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"מותב" – מותב שנקבע לפי סעיף 3 לצו או דן יחיד לפי סעיף 3א' לצו;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"מזכירות" – מזכירות ועדות העררים;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"מיופה כוח" – מי שהוסמך לייצג בפני ועדה והציג ייפוי כוח בכתב;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 כמשמעותו בצו בדבר נכסים נטושים (רכוש הפרט) (יהודה והשומרון) (מס' 58), התשכ"ז-1967, או בצו בדבר רכוש ממשלתי (יהודה והשומרון) (מס' 59), התשכ"ז-1967;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"נגיד" – נגיד ועדות העררים כמשמעותו בצו;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ציבור" – אדם הנמנה עם רשות מרשויות צה"ל באזור או הפועל מטעמה או עובד מרשויות מדינת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הצהרה בכתב שניתנה בשבועה או בהן צדק או הצהרה אחרת בכתב לפי דין המקום בו ניתנה.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r>
      <w:r>
        <w:rPr>
          <w:lang w:bidi="he-IL"/>
          <w:rFonts w:hint="cs" w:cs="FrankRuehl"/>
          <w:szCs w:val="26"/>
          <w:rtl/>
        </w:rPr>
        <w:tab/>
        <w:t xml:space="preserve">תקנות אלה יחולו על כל ערר שמוגש לוועדה, אלא אם נקבע אחרת בדין או בתחיקת בטחון.</w:t>
      </w:r>
    </w:p>
    <w:p>
      <w:pPr>
        <w:bidi/>
        <w:spacing w:before="70" w:after="5" w:line="250" w:lineRule="auto"/>
        <w:jc w:val="center"/>
      </w:pPr>
      <w:defaultTabStop w:val="720"/>
      <w:r>
        <w:rPr>
          <w:lang w:bidi="he-IL"/>
          <w:rFonts w:hint="cs" w:cs="FrankRuehl"/>
          <w:szCs w:val="26"/>
          <w:b/>
          <w:bCs/>
          <w:rtl/>
        </w:rPr>
        <w:t xml:space="preserve">פרק ב':כתב ערר וכתב תשובה</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להגשת כתב ערר</w:t>
                </w:r>
              </w:p>
            </w:txbxContent>
          </v:textbox>
        </v:rect>
      </w:pict>
      <w:r>
        <w:rPr>
          <w:lang w:bidi="he-IL"/>
          <w:rFonts w:hint="cs" w:cs="FrankRuehl"/>
          <w:szCs w:val="34"/>
          <w:rtl/>
        </w:rPr>
        <w:t xml:space="preserve">3.</w:t>
      </w:r>
      <w:r>
        <w:rPr>
          <w:lang w:bidi="he-IL"/>
          <w:rFonts w:hint="cs" w:cs="FrankRuehl"/>
          <w:szCs w:val="26"/>
          <w:rtl/>
        </w:rPr>
        <w:tab/>
        <w:t xml:space="preserve">כתב ערר יוגש תוך שלושים יום מיום שהומצאה לעורר ההחלטה עליה הוא עורר.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כתב הערר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כתב ערר יוגש למזכירות במסירה אישית או בדואר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ערר יוגש על ידי העורר או על ידי מיופה כוח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לכתב ערר תצורף קבלה בדבר תשלום אגרת הערר, או העתק ממנה, ומהזכירות לא תקבל כתב ערר שלא צורפה אליו קבלה כאמור.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הערר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כתב ערר יכלול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מספר זהותו ומקום מגוריו של העורר, מען להמצאת מסמכים ומספר טלפון ופקסימיליה של העורר ושל מיופה הכוח או של אדם אחר מטעמם, אם לעורר ולמיופה הכוח אין טלפון או פקסימיליה משלהם;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העובדה שהעורר הוא תאגיד או פסול דין, אם הדבר הוא כך. אם הוא תאגיד – הצורה שבה התאגד; אם הוא פסול דין – יצורפו אסמכתאות על כך ואישור אפוטרופוסו להגשת הערר;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שמם או תפקידם של המשיבים לערר, וכן מקום מגוריהם או משרדם במידה שניתן לבררו;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פרטי ההחלטה עליה מוגש הערר, תאריך קבלתה או התאריך בו נודע לראשונה על קיומה, ויצורף לערר העתק מאושר של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העובדות עליהן מבסס העורר את הערר;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הנימוקים עליהם מבסס העורר את הערר;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העובדות המראות שהוועדה מוסמכת לדון בערר;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הסעד המבוקש.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העורר מיוצג על ידי מיופה כוח, יצורף ייפוי הכוח לכתב הערר, ומיופה הכוח לא יפסיק לייצג את העורר אלא באישור הוועדה.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ערר על מס</w:t>
                </w:r>
              </w:p>
            </w:txbxContent>
          </v:textbox>
        </v:rect>
      </w:pict>
      <w:r>
        <w:rPr>
          <w:lang w:bidi="he-IL"/>
          <w:rFonts w:hint="cs" w:cs="FrankRuehl"/>
          <w:szCs w:val="34"/>
          <w:rtl/>
        </w:rPr>
        <w:t xml:space="preserve">6.</w:t>
      </w:r>
      <w:r>
        <w:rPr>
          <w:lang w:bidi="he-IL"/>
          <w:rFonts w:hint="cs" w:cs="FrankRuehl"/>
          <w:szCs w:val="26"/>
          <w:rtl/>
        </w:rPr>
        <w:tab/>
        <w:t xml:space="preserve">נוסף על האמור בתקנה 5, בערר על שומה שהוצאה מכוח חוק מס הכנסה, מס' 25 לשנת 1964, או מכוח תקנות בדבר בלו על מוצרים מקומיים (יהודה והשומרון), התשמ"ה-1985 – יצוין בכתב הערר סכום המס שאינו שנוי במחלוקת;
בתקנה זו, "מס" – לרבות ריבית, הפרשי הצמדה, קנסות וכל מקדמה או סכומים שנוכו במקור כמס מתשלום לאדם אחר.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 ערר</w:t>
                </w:r>
              </w:p>
            </w:txbxContent>
          </v:textbox>
        </v:rect>
      </w:pict>
      <w:r>
        <w:rPr>
          <w:lang w:bidi="he-IL"/>
          <w:rFonts w:hint="cs" w:cs="FrankRuehl"/>
          <w:szCs w:val="34"/>
          <w:rtl/>
        </w:rPr>
        <w:t xml:space="preserve">7.</w:t>
      </w:r>
      <w:r>
        <w:rPr>
          <w:lang w:bidi="he-IL"/>
          <w:rFonts w:hint="cs" w:cs="FrankRuehl"/>
          <w:szCs w:val="26"/>
          <w:rtl/>
        </w:rPr>
        <w:tab/>
        <w:t xml:space="preserve">המזכירות תמציא העתק מכתב הערר לכל אחד מהמשיבים ותציין על כתב הערר את מספר הערר ואת מועד הגשתו.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כתב תשובה</w:t>
                </w:r>
              </w:p>
            </w:txbxContent>
          </v:textbox>
        </v:rect>
      </w:pict>
      <w:r>
        <w:rPr>
          <w:lang w:bidi="he-IL"/>
          <w:rFonts w:hint="cs" w:cs="FrankRuehl"/>
          <w:szCs w:val="34"/>
          <w:rtl/>
        </w:rPr>
        <w:t xml:space="preserve">8.</w:t>
      </w:r>
      <w:r>
        <w:rPr>
          <w:lang w:bidi="he-IL"/>
          <w:rFonts w:hint="cs" w:cs="FrankRuehl"/>
          <w:szCs w:val="26"/>
          <w:rtl/>
        </w:rPr>
        <w:tab/>
        <w:t xml:space="preserve">כתב תשובה יוגש תוך שלושים יום מיום שהומצא למשיב כתב הערר מהמזכירות.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התשובה</w:t>
                </w:r>
              </w:p>
            </w:txbxContent>
          </v:textbox>
        </v:rect>
      </w:pict>
      <w:r>
        <w:rPr>
          <w:lang w:bidi="he-IL"/>
          <w:rFonts w:hint="cs" w:cs="FrankRuehl"/>
          <w:szCs w:val="34"/>
          <w:rtl/>
        </w:rPr>
        <w:t xml:space="preserve">9.</w:t>
      </w:r>
      <w:r>
        <w:rPr>
          <w:lang w:bidi="he-IL"/>
          <w:rFonts w:hint="cs" w:cs="FrankRuehl"/>
          <w:szCs w:val="26"/>
          <w:rtl/>
        </w:rPr>
        <w:tab/>
        <w:t xml:space="preserve">כתב תשובה יכלול את הפרטים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טענות מקדמיות, אם יהיו, ואסמכתאות לביסוסן;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התשובות העובדתיות לטענות שבכתב הערר.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חוות דעת של מומחה</w:t>
                </w:r>
              </w:p>
            </w:txbxContent>
          </v:textbox>
        </v:rect>
      </w:pict>
      <w:r>
        <w:rPr>
          <w:lang w:bidi="he-IL"/>
          <w:rFonts w:hint="cs" w:cs="FrankRuehl"/>
          <w:szCs w:val="34"/>
          <w:rtl/>
        </w:rPr>
        <w:t xml:space="preserve">10.</w:t>
      </w:r>
      <w:r>
        <w:rPr>
          <w:lang w:bidi="he-IL"/>
          <w:rFonts w:hint="cs" w:cs="FrankRuehl"/>
          <w:szCs w:val="26"/>
          <w:rtl/>
        </w:rPr>
        <w:tab/>
        <w:t xml:space="preserve">כל טענה בכתב ערר או בכתב תשובה בנושא שבמדע, במחקר, בחקלאות או ברפואה תאומת על ידי חוות דעת של מומחה.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 כתבי הטענות ושפתם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כתב ערר, כתב תשובה ובקשה אחרת המופנית לוועדה, יהיו מודפסים, בערבית או בעברית, ויוגשו עם המסמכים המצורפים אליהם בשלושה עותקים ובעותק נוסף לכל אחד מהצדדים האחרים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למסמכים המוגשים לוועדה ששפתם אינה עברית ואינה ערבית יצורף תרגום לעברית או לערבית.</w:t>
      </w:r>
    </w:p>
    <w:p>
      <w:pPr>
        <w:bidi/>
        <w:spacing w:before="70" w:after="5" w:line="250" w:lineRule="auto"/>
        <w:jc w:val="center"/>
      </w:pPr>
      <w:defaultTabStop w:val="720"/>
      <w:r>
        <w:rPr>
          <w:lang w:bidi="he-IL"/>
          <w:rFonts w:hint="cs" w:cs="FrankRuehl"/>
          <w:szCs w:val="26"/>
          <w:b/>
          <w:bCs/>
          <w:rtl/>
        </w:rPr>
        <w:t xml:space="preserve">פרק ג':הדיון, סדרי הדין והראיות</w:t>
      </w:r>
      <w:bookmarkStart w:name="h14" w:id="14"/>
      <w:bookmarkEnd w:id="14"/>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 מותב וקביעת מועד לדיון</w:t>
                </w:r>
              </w:p>
            </w:txbxContent>
          </v:textbox>
        </v:rect>
      </w:pict>
      <w:r>
        <w:rPr>
          <w:lang w:bidi="he-IL"/>
          <w:rFonts w:hint="cs" w:cs="FrankRuehl"/>
          <w:szCs w:val="34"/>
          <w:rtl/>
        </w:rPr>
        <w:t xml:space="preserve">12.</w:t>
      </w:r>
      <w:r>
        <w:rPr>
          <w:lang w:bidi="he-IL"/>
          <w:rFonts w:hint="cs" w:cs="FrankRuehl"/>
          <w:szCs w:val="26"/>
          <w:rtl/>
        </w:rPr>
        <w:tab/>
        <w:t xml:space="preserve">לאחר קבלת כתב התשובה, יקבע הנגיד את המותב לישיבה לדיון מקדמי בערר; הדיון המקדמי יתקיים בתוך ששים יום ממועד הגשת כתב התשובה, אלא אם קבע הנגיד אחרת,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הצדדים וקביעת מועדים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הצדדים יזומנו לדיון בדואר רשום, במסירה אישית, באמצעות פקסימיליה, או בדרך אחרת שתיקבע על ידי הנגיד.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תאריכי הדיונים שלאחר הישיבה הראשונה ייקבעו על ידי הוועדה, ויודעו לצדדים במידת האפשר בעת הדיון בישיבה הראשונה או בסיומה של כל ישיבה; היה ונמסרה הודעה כאמור, הרי שהדבר ייחשב כזימון לדיון, ולא תהא כל חובה לשלוח לצדדים הודעה נוספת, אלא אם נקבע אחרת על ידי הוועדה.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מקדמי בערר</w:t>
                </w:r>
              </w:p>
            </w:txbxContent>
          </v:textbox>
        </v:rect>
      </w:pict>
      <w:r>
        <w:rPr>
          <w:lang w:bidi="he-IL"/>
          <w:rFonts w:hint="cs" w:cs="FrankRuehl"/>
          <w:szCs w:val="34"/>
          <w:rtl/>
        </w:rPr>
        <w:t xml:space="preserve">14.</w:t>
      </w:r>
      <w:r>
        <w:rPr>
          <w:lang w:bidi="he-IL"/>
          <w:rFonts w:hint="cs" w:cs="FrankRuehl"/>
          <w:szCs w:val="26"/>
          <w:rtl/>
        </w:rPr>
        <w:tab/>
        <w:t xml:space="preserve">בישיבה הראשונה של הדיון בערר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יבוררו שאלות ובקשות מקדמיות;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ייקבעו השאלות השנויות במחלוקת;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ייקבעו שלבי הדיון בערר והענינים שיתבררו;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ייקבעו רשימות העדים שיוזמנו לחקירה;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יוחלט אם להתיר תיקון או תוספת לכתבי הטענות;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ייקבע המועד להמשך הדיונים;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יוחלט על כל הוראה לסדר דין שיש בה לפשט את הדיון או להקל עליו.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תוצאותיו של דיון מקדמי</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ענין שהוחלט בו בדיון מקדמי לא יידון מחדש מאוחר יותר, והדיונים יתנהלו על פי ההכרעות שניתנו בדיון המקדמי, זולת אם ראתה הוועדה לשנות מהן, מטעמים מיוחדים שיירשמו, וכשהדבר נדרש כדי למנוע 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לא תדון בשום בקשה שבעל דין יכול היה להביאה במסגרת הדיון המקדמי, זולת אם ראתה הוועדה לעשון כן, מטעמים מיוחדים שיירשמו, וכשהדבר דרוש כדי למנוע עיוות דין.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משיבים</w:t>
                </w:r>
              </w:p>
            </w:txbxContent>
          </v:textbox>
        </v:rect>
      </w:pict>
      <w:r>
        <w:rPr>
          <w:lang w:bidi="he-IL"/>
          <w:rFonts w:hint="cs" w:cs="FrankRuehl"/>
          <w:szCs w:val="34"/>
          <w:rtl/>
        </w:rPr>
        <w:t xml:space="preserve">16.</w:t>
      </w:r>
      <w:r>
        <w:rPr>
          <w:lang w:bidi="he-IL"/>
          <w:rFonts w:hint="cs" w:cs="FrankRuehl"/>
          <w:szCs w:val="26"/>
          <w:rtl/>
        </w:rPr>
        <w:tab/>
        <w:t xml:space="preserve">הוועדה רשאית, מיוזמתה או לפי בקשת בעל דין, לצרף לערר משיבים נוספים, אם יש להם נגיעה ישירה לערר או שזכויותיהם עלולות להפגע כתוצאה מההחלטה בערר.</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בערר בהעדר צד לדיון</w:t>
                </w:r>
              </w:p>
            </w:txbxContent>
          </v:textbox>
        </v:rect>
      </w:pict>
      <w:r>
        <w:rPr>
          <w:lang w:bidi="he-IL"/>
          <w:rFonts w:hint="cs" w:cs="FrankRuehl"/>
          <w:szCs w:val="34"/>
          <w:rtl/>
        </w:rPr>
        <w:t xml:space="preserve">17.</w:t>
      </w:r>
      <w:r>
        <w:rPr>
          <w:lang w:bidi="he-IL"/>
          <w:rFonts w:hint="cs" w:cs="FrankRuehl"/>
          <w:szCs w:val="26"/>
          <w:rtl/>
        </w:rPr>
        <w:tab/>
        <w:t xml:space="preserve">לא התייצב צד לדיון במועד שנקבע, לאחר שהוזמן כדין, רשאית הוועדה לדון בערר ולהחליט בו שלא בפניו; במתן החלטה תהא הוועדה רשאית להביא בחשבון את הראיות שהגיש אותו צד ואת הטענות שטענו מטעמו.
אין בתקנה זו כדי לגרוע מסמכויות הוועדה לפי סעיף 9ב לצו.</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בדלתיים סגורות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הדיון בוועדה יתקיים בפומבי.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לצוות כי הדיון בפניה יתקיים, כולו או מקצתו, בדלתיים סגורות, אם היא סבורה כי מן הראוי לעשות כן מטעמים של בטחון כוחות צה"ל או טובת הציבור או משום שהתרשמה שקיום הדיון בפומבי ירתיע עד מלמסור עדות חופשית או מלהעיד בכלל. הועדה רשאית שלא לחייב עד לגלות את זהותו מהטעמים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יפרסם אדם ולא יגלה לאחר דבר על פרטי דיון שהתקיים בוועדה בדלתיים סגורות, אלא ברשות הוועדה בכתב.</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עדים ושמיעת עדויות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נקבע תאריך לדיון בערר, תשלח המזכירות, לפי דרישת בעל דין, הזמנה לעדים, אם למתן עדות ואם להצגת מסמכים; ההזמנה תפרט את הזמן ואת המקום שבהם יש למסור את העדות או להציג את המסמכים; נדרש להציג מסמך, יתואר המסמך בהזמנה בדיוק סביר ויפורט בה שהמוזמן רשאי להביא לידי הצגת המסמך כלי שיבוא להציגו בעצמו, אלא אם הוועדה הורתה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להורות כי העדויות יוגשו בתצהיר או בתעודה של עובד ציבור, או בכל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דין המבקש הזמנת עד כאמור בתקנת-משנה (א) אחראי למסירת ההזמנה לעד, אלא אם יושב הראש או הוועדה הורו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הזמנתו של עובד ציבור תיעשה על ידי המזכירות, והיא תהיה אחראית למסירת ההזמנה לעד.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הוועדה רשאית לסרב להזמנת עד, אם ראתה שמן הצדק לעשות כן, או אם הבאת העד עלולה להאריך את הדיון שלא לצורך.</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 על ידי תצהיר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הוגשה עדות בתצהיר, יתייצב המצהיר לחקירה נגדית על תצהירו במועד שנקבע לכך, אלא אם הודיע בעל הדין שכנגד כי הוא מוותר על חקירת המצהיר.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המצהיר, לא ישמש תצהירו ראיה אלא ברשות מיוחדת מאת הוועדה, מטעמים מיוחדים שיירשמו, אם לדעת הוועדה לא ייגרם בכך 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בכל עת לדרוש התייצבותו של מצהיר לשם חקירה.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העדויות וסיכומים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הוועדה תשמע תחילה את עדי העוררים, על פי סדרם של אלה בכתב הערר, ולאחר מכן ייחקרו בחקירה נגדית ובחקירה חוזרת, ככל שידרשו.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לאחר מכן, תשמע הוועדה את עדי המשיבים, על פי סדרם של אלה בכתב הערר, ולאחר מכן ייחקרו בחקירה נגדית ובחקירה חוזרת, ככל שידרשו.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בכל שלב של הדיון, בין מיוזמתה ובין לפי בקשת בעל דין, להורות לבעל דין להגיש בכתב טענות מסוימות או ראיות מסוימות, וכן את סיכום הטענות, בתצהיר או בדרך אחרת שתקבע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רשאית, על פי בקשת כל בעלי הדין, לדון ולהחליט בערר על פי טענות וראיות שהוגשו בכתב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החליטה הוועדה כאמור בתקנת משנה (ד), רשאית היא, מיוזמתה או לבקשת בעל דין, לבקש מן העורר או מן המשיב, לפי הענין, להשלים את הטענות והראיות בכתב באופן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הוועדה רשאית לקבוע כי בתום הדיונים יסכמו הצדדים את טענותיהם בעל פה או בכתב, באופן ובמועד שייקבעו על ידי הוועדה. קבעה הוועדה כי הצדדים יסכמו בכתב כאמור ולא הגיש צד את סיכומיו במועד הקבוע בתקנות אלה או במועד אחר שקבעה הוועדה, יראה כמי ויתר על הגשתם.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בתקנת משנה (ו), בתום הדיונים בוועדה על קביעה לפי סעיפים 6א או 6ב לצו בדבר רכוש ממשלתי (יהודה והשומרון) (מס' 59), תשכ"ז-1967 כאמור בפרט 2 בתוספת לצו, סיכומי טענות הצדדים יישמעו בעל פה בהקדם האפשרי; הוועדה רשאית במקרים המתאימים, בהתחשב, בין השאר, בהיקף הראיות בכתב ובעל פה, במורכבותו של הערר, ובטיב הסכסוך בין הצדדים, להורות שסיכומי הטענות על הפרשה כולה או על שאלה מסוימת שהורתה, יוגשו בכתב.</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עדים והוצאותיהם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נענה אדם להזמנה להעיד בפני הוועדה, רשאית הוועדה לצוות כי ישולמו לו דמי נסיעתו ממקומו למקום מושבה של הוועדה ובחזרה, וכן שכר בטלה ודמי לינה כפי שייראה לוועדה; הוזמן האדם להעיד כמומחה, ישולם לו, בנוסף על דמי הנסיעה והלינה, שכר עבור עדותו; הסכומים שייפסקו לפי הוראה זו לא יעלו על השיעורים שנקבעו בתוספת לצו בדבר תשלום דמי עדים (יהודה והשומרון) (מס' 351), התש"ל-1970.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הורתה הוועדה על תשלום כאמור, יבוצע התשלום על ידי הצד שלבקשתו הוזמן העד לעדות; אם הוזמן ביוזמת הוועדה כאמור בתקנה 29, יבוצע התשלום מקופת האזור.</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הדיונים</w:t>
                </w:r>
              </w:p>
            </w:txbxContent>
          </v:textbox>
        </v:rect>
      </w:pict>
      <w:r>
        <w:rPr>
          <w:lang w:bidi="he-IL"/>
          <w:rFonts w:hint="cs" w:cs="FrankRuehl"/>
          <w:szCs w:val="34"/>
          <w:rtl/>
        </w:rPr>
        <w:t xml:space="preserve">23.</w:t>
      </w:r>
      <w:r>
        <w:rPr>
          <w:lang w:bidi="he-IL"/>
          <w:rFonts w:hint="cs" w:cs="FrankRuehl"/>
          <w:szCs w:val="26"/>
          <w:rtl/>
        </w:rPr>
        <w:tab/>
        <w:t xml:space="preserve">לא הסתיים הדיון בו ביום, תקבע הוועדה מועדים להמשך הדיון בערר מוקדם ככל האפשר; מועד להמשך הדיון ייקבע למועד שאינו מאוחר מתשעים יום מהדיון הקודם לו, אלא מטעמים שיירשמו.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הדיון לטענות שבכתבי הטענות</w:t>
                </w:r>
              </w:p>
            </w:txbxContent>
          </v:textbox>
        </v:rect>
      </w:pict>
      <w:r>
        <w:rPr>
          <w:lang w:bidi="he-IL"/>
          <w:rFonts w:hint="cs" w:cs="FrankRuehl"/>
          <w:szCs w:val="34"/>
          <w:rtl/>
        </w:rPr>
        <w:t xml:space="preserve">24.</w:t>
      </w:r>
      <w:r>
        <w:rPr>
          <w:lang w:bidi="he-IL"/>
          <w:rFonts w:hint="cs" w:cs="FrankRuehl"/>
          <w:szCs w:val="26"/>
          <w:rtl/>
        </w:rPr>
        <w:tab/>
        <w:t xml:space="preserve">הוועדה לא תיזקק לכל טענה שלא הוזכרה בכתבי הטענות, אלא מטעמים שיירשמו, אם נראה לה שהדבר דרוש למען עשיית הצדק, ובלבד שליתר הצדדים ניתנה הזדמנות נאותה להגיב לטענה.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הדיון בעררים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הוועדה רשאית לאחד את הדיון בעררים שהוגשו באותו נושא, או בנושא דומה, והיא רשאית לדון בהם במשותף וליתן החלטה אחת בכולם.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עררים קבועים בפני מותבים שונים, וסבר הנגיד או יושב הראש כי יש מקום לאיחוד הדיון, רשאי הנגיד או יושב הראש לאחד הדיון, ובלבד שאם החל מותב בדיון בערר, יחליט הנגיד או יושב הראש על איחוד העררים בהסכמת יושב הראש שהחל בדיון כאמור, ולאחר שניתנה לצדדים הזדמנות להשמיע את טענותיהם בענין.</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הפרדת הדיון בערר</w:t>
                </w:r>
              </w:p>
            </w:txbxContent>
          </v:textbox>
        </v:rect>
      </w:pict>
      <w:r>
        <w:rPr>
          <w:lang w:bidi="he-IL"/>
          <w:rFonts w:hint="cs" w:cs="FrankRuehl"/>
          <w:szCs w:val="34"/>
          <w:rtl/>
        </w:rPr>
        <w:t xml:space="preserve">26.</w:t>
      </w:r>
      <w:r>
        <w:rPr>
          <w:lang w:bidi="he-IL"/>
          <w:rFonts w:hint="cs" w:cs="FrankRuehl"/>
          <w:szCs w:val="26"/>
          <w:rtl/>
        </w:rPr>
        <w:tab/>
        <w:t xml:space="preserve">הוועדה רשאית להפריד את הדיון או לפצלו, מיוזמתה או לבקשת הצדדים, אם שוכנעה כי הדבר דרוש לייעול הדיון, והיא רשאית ליתן החלטות סופיות או חלקיות בערר שהופרד או פוצל כאמור.</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ביניים וסעדים זמניים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יושב הראש יהיה מוסמך ליתן החלטות וצווי ביניים, הן במעמד הצדדים והן במעמד צד אחד, בתנאים שייקבעו.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למתן צו ביניים, תהא נתמכת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צו במעמד צד אחד, יפקע תוקפו של הצו בתום ארבעה עשר ימים, אלא אם הוארך על ידי הוועדה בתוך אותה תקופה, לאחר דיון אליו זומנו שני הצדדים.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ניתן צו ביניים במעמד צד אחד והוגשה בקשה לביטולו, ייקבע יושב הראש דיון בבקשה בפני הוועדה במועד מוקדם ככל 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הראש יהיה רשאי להתנות מתן צו כאמור, במתן ערובה כפי שייקבע על ידו.</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הדין והראיות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הוועדה רשאית לסטות מסדרי הדין ודיני הראיות, מטעמים שיירשמו, אם נראה לה שהדבר דרוש למען עשיית הצדק.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עניין שבסדרי דין, שלא נקבע בתקנות אלה, רשאית הוועדה לנהוג באופן שייראה לה כמתאים ביותר לעשיית הצדק.</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ראיות ביוזמת הוועדה</w:t>
                </w:r>
              </w:p>
            </w:txbxContent>
          </v:textbox>
        </v:rect>
      </w:pict>
      <w:r>
        <w:rPr>
          <w:lang w:bidi="he-IL"/>
          <w:rFonts w:hint="cs" w:cs="FrankRuehl"/>
          <w:szCs w:val="34"/>
          <w:rtl/>
        </w:rPr>
        <w:t xml:space="preserve">29.</w:t>
      </w:r>
      <w:r>
        <w:rPr>
          <w:lang w:bidi="he-IL"/>
          <w:rFonts w:hint="cs" w:cs="FrankRuehl"/>
          <w:szCs w:val="26"/>
          <w:rtl/>
        </w:rPr>
        <w:tab/>
        <w:t xml:space="preserve">הוועדה רשאית לצוות מיוזמתה על הבאת ראיות או לדרוש מכל אדם להתייצב ולהעיד בפניה, לרבות כעד מומחה, או להציג כל תעודה שברשותו, גם אם לא נדרשה לכך על ידי הצדדים, אם מצאה כי לעדות או לראיות חשיבות לגבי הדיון בערר.</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הפרוטוקול</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הוועדה תקיים פרוטוקול לדיוניה.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דיוני הוועדה ייערכו בשפה העברית. עם זאת, צד לדיון רשאי לטעון בערבית.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w:t>
                </w:r>
              </w:p>
            </w:txbxContent>
          </v:textbox>
        </v:rect>
      </w:pict>
      <w:r>
        <w:rPr>
          <w:lang w:bidi="he-IL"/>
          <w:rFonts w:hint="cs" w:cs="FrankRuehl"/>
          <w:szCs w:val="34"/>
          <w:rtl/>
        </w:rPr>
        <w:t xml:space="preserve">31.</w:t>
      </w:r>
      <w:r>
        <w:rPr>
          <w:lang w:bidi="he-IL"/>
          <w:rFonts w:hint="cs" w:cs="FrankRuehl"/>
          <w:szCs w:val="26"/>
          <w:rtl/>
        </w:rPr>
        <w:tab/>
        <w:t xml:space="preserve">הוועדה תיעזר במתורגמן שיתמנה על ידה, כדי שיתרגם את מהלך הדיון שבפניה לערבית או לעברית, לפי העניין, אלא אם הצדדים הסכימו כי אין צורך בתרגום לערבית.</w:t>
      </w:r>
    </w:p>
    <w:p>
      <w:pPr>
        <w:bidi/>
        <w:spacing w:before="70" w:after="5" w:line="250" w:lineRule="auto"/>
        <w:jc w:val="center"/>
      </w:pPr>
      <w:defaultTabStop w:val="720"/>
      <w:r>
        <w:rPr>
          <w:lang w:bidi="he-IL"/>
          <w:rFonts w:hint="cs" w:cs="FrankRuehl"/>
          <w:szCs w:val="26"/>
          <w:b/>
          <w:bCs/>
          <w:rtl/>
        </w:rPr>
        <w:t xml:space="preserve">פרק ד':ערר במקרקעין</w:t>
      </w:r>
      <w:bookmarkStart w:name="h35" w:id="35"/>
      <w:bookmarkEnd w:id="35"/>
    </w:p>
    <w:p>
      <w:pPr>
        <w:bidi/>
        <w:spacing w:before="70" w:after="5" w:line="250" w:lineRule="auto"/>
        <w:jc w:val="center"/>
      </w:pPr>
      <w:defaultTabStop w:val="720"/>
      <w:r>
        <w:rPr>
          <w:lang w:bidi="he-IL"/>
          <w:rFonts w:hint="cs" w:cs="FrankRuehl"/>
          <w:szCs w:val="26"/>
          <w:b/>
          <w:bCs/>
          <w:rtl/>
        </w:rPr>
        <w:t xml:space="preserve">סימן א':ערר במקרקעין</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התקנות</w:t>
                </w:r>
              </w:p>
            </w:txbxContent>
          </v:textbox>
        </v:rect>
      </w:pict>
      <w:r>
        <w:rPr>
          <w:lang w:bidi="he-IL"/>
          <w:rFonts w:hint="cs" w:cs="FrankRuehl"/>
          <w:szCs w:val="34"/>
          <w:rtl/>
        </w:rPr>
        <w:t xml:space="preserve">32.</w:t>
      </w:r>
      <w:r>
        <w:rPr>
          <w:lang w:bidi="he-IL"/>
          <w:rFonts w:hint="cs" w:cs="FrankRuehl"/>
          <w:szCs w:val="26"/>
          <w:rtl/>
        </w:rPr>
        <w:tab/>
        <w:t xml:space="preserve">על ערר שענינו מקרקעין (בפרק זה: "ערר במקרקעין") יחול האמור בתקנות אלה, בכפוף לאמור בפרק זה.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ערר</w:t>
                </w:r>
              </w:p>
            </w:txbxContent>
          </v:textbox>
        </v:rect>
      </w:pict>
      <w:r>
        <w:rPr>
          <w:lang w:bidi="he-IL"/>
          <w:rFonts w:hint="cs" w:cs="FrankRuehl"/>
          <w:szCs w:val="34"/>
          <w:rtl/>
        </w:rPr>
        <w:t xml:space="preserve">33.</w:t>
      </w:r>
      <w:r>
        <w:rPr>
          <w:lang w:bidi="he-IL"/>
          <w:rFonts w:hint="cs" w:cs="FrankRuehl"/>
          <w:szCs w:val="26"/>
          <w:rtl/>
        </w:rPr>
        <w:tab/>
        <w:t xml:space="preserve">ערר במקרקעין יוגש תוך ארבעים וחמישה יום מיום שהודע לעורר דבר ההחלטה עליה הוא עורר או מיום בו פורסמה ההחלטה בדרך עליה הורה הממונה, או מיום סימון המקרקעין בשטח – הכל לפי המועד המוקדם יותר.</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הערר</w:t>
                </w:r>
              </w:p>
            </w:txbxContent>
          </v:textbox>
        </v:rect>
      </w:pict>
      <w:r>
        <w:rPr>
          <w:lang w:bidi="he-IL"/>
          <w:rFonts w:hint="cs" w:cs="FrankRuehl"/>
          <w:szCs w:val="34"/>
          <w:rtl/>
        </w:rPr>
        <w:t xml:space="preserve">34.</w:t>
      </w:r>
      <w:r>
        <w:rPr>
          <w:lang w:bidi="he-IL"/>
          <w:rFonts w:hint="cs" w:cs="FrankRuehl"/>
          <w:szCs w:val="26"/>
          <w:rtl/>
        </w:rPr>
        <w:tab/>
        <w:t xml:space="preserve">לכתב הערר לפי סימן זה יצורפו, בנוסף לכל הפרטים והמסמכים המפורטים בתקנות אלה, הפרטים והמסמכים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פרטים על טענות לזכות במקרקעין;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מפת מדידה מאושרת על ידי מודד מוסמך בה יסומנו גבולות המקרקעין שטוענים לזכויות בהם כדי אפשרות לזהותם ככל האפשר – לפי גבולות או לפי מספרים שבפנקס המקרקעין או במפה; היה מדובר במקרקעין רשומים לאחר הסדר, רשאי העורר לא לצרף מפה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היו המקרקעין רשומים במרשם המקרקעין, יצורף לעורר נסח 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היו המקרקעין רשומים ברישומי מס רכוש, יצורף לערר נסח מס 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היה הערר נוגע למקרקעין בבעלות משותפת של כמה בעלים, יציין העורר את חלקו היחסי באותם מקרקעין, ואם מייצג העורר את שאר הבעלים, יצרף ייפוי כוח מאותם בעלים.</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מפה</w:t>
                </w:r>
              </w:p>
            </w:txbxContent>
          </v:textbox>
        </v:rect>
      </w:pict>
      <w:r>
        <w:rPr>
          <w:lang w:bidi="he-IL"/>
          <w:rFonts w:hint="cs" w:cs="FrankRuehl"/>
          <w:szCs w:val="34"/>
          <w:rtl/>
        </w:rPr>
        <w:t xml:space="preserve">34א.</w:t>
        <w:tab/>
      </w:r>
      <w:r>
        <w:rPr>
          <w:lang w:bidi="he-IL"/>
          <w:rFonts w:hint="cs" w:cs="FrankRuehl"/>
          <w:szCs w:val="26"/>
          <w:rtl/>
        </w:rPr>
        <w:t xml:space="preserve">(א)</w:t>
      </w:r>
      <w:r>
        <w:rPr>
          <w:lang w:bidi="he-IL"/>
          <w:rFonts w:hint="cs" w:cs="FrankRuehl"/>
          <w:szCs w:val="26"/>
          <w:rtl/>
        </w:rPr>
        <w:tab/>
        <w:t xml:space="preserve">מפת מדידה כאמור בתקנה 34(2) תוגש בעותק מודפס ובקובץ ממוחשב.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הנגיד יהא רשאי להורות כי מפת מדידה תוגש בעותק מודפס בלבד, מטעמים מיוחדים שיירשמו. הוגשה הבקשה להגיש עותק מודפס בלבד לאחר שקבע הנגיד את המותב לדיון בערר, תובא הבקשה להחלטת יושב ראש המותב.</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תשובה</w:t>
                </w:r>
              </w:p>
            </w:txbxContent>
          </v:textbox>
        </v:rect>
      </w:pict>
      <w:r>
        <w:rPr>
          <w:lang w:bidi="he-IL"/>
          <w:rFonts w:hint="cs" w:cs="FrankRuehl"/>
          <w:szCs w:val="34"/>
          <w:rtl/>
        </w:rPr>
        <w:t xml:space="preserve">35.</w:t>
      </w:r>
      <w:r>
        <w:rPr>
          <w:lang w:bidi="he-IL"/>
          <w:rFonts w:hint="cs" w:cs="FrankRuehl"/>
          <w:szCs w:val="26"/>
          <w:rtl/>
        </w:rPr>
        <w:tab/>
        <w:t xml:space="preserve">לכתב תשובה בערר לפי סימן זה יתווספו אישור הממונה ומפה בה יסומן מה מתוך השטח שבמפה שהגיש העורר כלול בשטח שאושר על ידי המשיב.</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ראיות לכתבי הטענות</w:t>
                </w:r>
              </w:p>
            </w:txbxContent>
          </v:textbox>
        </v:rect>
      </w:pict>
      <w:r>
        <w:rPr>
          <w:lang w:bidi="he-IL"/>
          <w:rFonts w:hint="cs" w:cs="FrankRuehl"/>
          <w:szCs w:val="34"/>
          <w:rtl/>
        </w:rPr>
        <w:t xml:space="preserve">35א.</w:t>
      </w:r>
      <w:r>
        <w:rPr>
          <w:lang w:bidi="he-IL"/>
          <w:rFonts w:hint="cs" w:cs="FrankRuehl"/>
          <w:szCs w:val="26"/>
          <w:rtl/>
        </w:rPr>
        <w:tab/>
        <w:t xml:space="preserve">בעת הגשת כתבי טענות בערר על החלטות לפי סעיפים 6א או 6ב לצו בדבר רכוש ממשלתי (יהודה והשומרון) (מס' 59), תשכ"ז-1967 כאמור בפרט 2 בתוספת לצו, וכן לפי פרט 34 בתוספת לצו, יצרפו הצדדים את כל הראיות שעליהן נסמכים כתבי הטענות. על אף האמור, חוות דעת של מומחים יגיש העורר עד 21 ימים לפני הדיון המקדמי, והמשיב יגיש עד 7 ימים לפני הדיון המקדמי.</w:t>
      </w:r>
    </w:p>
    <w:p>
      <w:pPr>
        <w:bidi/>
        <w:spacing w:before="70" w:after="5" w:line="250" w:lineRule="auto"/>
        <w:jc w:val="center"/>
      </w:pPr>
      <w:defaultTabStop w:val="720"/>
      <w:r>
        <w:rPr>
          <w:lang w:bidi="he-IL"/>
          <w:rFonts w:hint="cs" w:cs="FrankRuehl"/>
          <w:szCs w:val="26"/>
          <w:b/>
          <w:bCs/>
          <w:rtl/>
        </w:rPr>
        <w:t xml:space="preserve">סימן ב':ערר על רישום ראשון של מקרקעין</w:t>
      </w:r>
      <w:bookmarkStart w:name="h43" w:id="43"/>
      <w:bookmarkEnd w:id="43"/>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36.</w:t>
      </w:r>
      <w:r>
        <w:rPr>
          <w:lang w:bidi="he-IL"/>
          <w:rFonts w:hint="cs" w:cs="FrankRuehl"/>
          <w:szCs w:val="26"/>
          <w:rtl/>
        </w:rPr>
        <w:tab/>
        <w:t xml:space="preserve">בסימן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אחרת" – החלטה של ועדת הרישום שאינה החלטה סופית;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"ערר על רישום מקרקעין" – ערר לפי פרט 11 בתוספת לצו;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הרישום" – כהגדרתה בסעיף 2 לחוק רישום נכסי דלא ניידי שלא נרשמו, מס' 6 לשנת 1964.</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החלטה אחרת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ערר על החלטה אחרת של ועדת הרישום יוגש רק אם ניתנה רשות להגשתו על ידי הנגיד או על ידי יושב הראש ולאחר שלצדדים האחרים ניתנה הזדמנות להתייחס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לבקשת רשות להגשת ערר על החלטה אחרת תצורף הודעת הערר, ויחולו עליה תקנות 39, 40, ו-41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כתב הערר</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כתב ערר על רישום מקרקעין יכלול, נוסף על האמור בתקנה 5(א), את שמו של כל אדם שהיה צד לדיונים בפני הוועדה לרישום וכן תיאורו ומקום מגוריו, אם הם ידועים.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לכתב ערר על רישום מקרקעין לא יצורפו ראיות אחרות, אלא אם ניתנה רשות הוועדה מטעמים מיוחדים שירשמו.</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כתבי הטענות</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בערר על רישום מקרקעין יוגשו כתב הערר, כתב התשובה וכל בקשה אחרת בשלושה עותקים, וכן מספר העתקים כמספר האנשים שהיו צד לדיונים בפני ועדת הרישום ועותק נוסף לכל משיב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בתקנה 7, המזכירות תמציא עותק מכתב הערר לממונה וליועץ המשפטי.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בערר על רישום מקרקעין אין המשיבים חייבים להגיש כתב תשובה, ובלבד שמשיב שבחר שלא להגיש כתב תשובה, יודיע על כך בכתב לוועדה תוך התקופה להגשת כתב תשובה.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הדין</w:t>
                </w:r>
              </w:p>
            </w:txbxContent>
          </v:textbox>
        </v:rect>
      </w:pict>
      <w:r>
        <w:rPr>
          <w:lang w:bidi="he-IL"/>
          <w:rFonts w:hint="cs" w:cs="FrankRuehl"/>
          <w:szCs w:val="34"/>
          <w:rtl/>
        </w:rPr>
        <w:t xml:space="preserve">40.</w:t>
      </w:r>
      <w:r>
        <w:rPr>
          <w:lang w:bidi="he-IL"/>
          <w:rFonts w:hint="cs" w:cs="FrankRuehl"/>
          <w:szCs w:val="26"/>
          <w:rtl/>
        </w:rPr>
        <w:tab/>
        <w:t xml:space="preserve">בערר על רישום מקרקעין תדון הוועדה על פי החומר שבתיק הרישום, לא תקבל ראיות ולא תשמע עדים, אלא אם שוכנעה שמן הצדק לעשות כן ומטעמים מיוחדים שיירשמו.</w:t>
      </w:r>
    </w:p>
    <w:p>
      <w:pPr>
        <w:bidi/>
        <w:spacing w:before="70" w:after="5" w:line="250" w:lineRule="auto"/>
        <w:jc w:val="center"/>
      </w:pPr>
      <w:defaultTabStop w:val="720"/>
      <w:r>
        <w:rPr>
          <w:lang w:bidi="he-IL"/>
          <w:rFonts w:hint="cs" w:cs="FrankRuehl"/>
          <w:szCs w:val="26"/>
          <w:b/>
          <w:bCs/>
          <w:rtl/>
        </w:rPr>
        <w:t xml:space="preserve">פרק ה':המלצות הוועדה והחלטתה</w:t>
      </w:r>
      <w:bookmarkStart w:name="h49" w:id="49"/>
      <w:bookmarkEnd w:id="49"/>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המלצות הוועדה והחלטתה</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הוועדה תמסור המלצותיה לראש המינהל האזרחי בכתב בהחלטה מנומקת; העתק מההחלטה יומצא לצדדים.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ככל שנקבע בדין או בתחיקת בטחון שהחלטת הוועדה היא סופית, תיתן הוועדה החלטתה המנומקת, וההחלטה תומצא לצדדים.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ההחלטה יכולה להינתן פה אחד או ברוב דעות; בעל דעת מיעוט יצרף להחלטה את נימוקי הסתייגותו. בהעדר רוב לדעה אחת, תכריע דעתו של יושב הראש.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החלטת הוועדה יימסרו תוך תשעים יום מתום הדיון, אלא אם אישר הנגיד, מטעמים מיוחדים, מסירתן במועד שלא יאוחר מתוך תשעים יום נוספים.</w:t>
      </w:r>
    </w:p>
    <w:p>
      <w:pPr>
        <w:bidi/>
        <w:spacing w:before="70" w:after="5" w:line="250" w:lineRule="auto"/>
        <w:jc w:val="center"/>
      </w:pPr>
      <w:defaultTabStop w:val="720"/>
      <w:r>
        <w:rPr>
          <w:lang w:bidi="he-IL"/>
          <w:rFonts w:hint="cs" w:cs="FrankRuehl"/>
          <w:szCs w:val="26"/>
          <w:b/>
          <w:bCs/>
          <w:rtl/>
        </w:rPr>
        <w:t xml:space="preserve">פרק ו':ענינים שונים</w:t>
      </w:r>
      <w:bookmarkStart w:name="h51" w:id="51"/>
      <w:bookmarkEnd w:id="51"/>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חבר המותב</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נבצר מאחד מחברי הוועדה מסיבה כלשהי להמשיך בתפקידו, ימנה הנגיד חבר אחר, והדיון יימשך בהרכבו החדש מאותו שלב אליו הגיע הדיון בפני ההרכב הראשון, אלא אם הורתה הוועדה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נבצר משני חברי הוועדה או מיושב הראש להמשיך בתפקידם מסיבה כלשהי, ימנה הנגיד מותב חדש, והדיון יחל מראשיתו, אלא אם הסכימו שני הצדדים להמשך הדיון מאותו שלב אליו הגיע המותב בהרכבו הראשון.</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43.</w:t>
      </w:r>
      <w:r>
        <w:rPr>
          <w:lang w:bidi="he-IL"/>
          <w:rFonts w:hint="cs" w:cs="FrankRuehl"/>
          <w:szCs w:val="26"/>
          <w:rtl/>
        </w:rPr>
        <w:tab/>
        <w:t xml:space="preserve">הוועדה רשאית לכפות בהחלטה הופעת עד שנראה לה כדרוש לשם עשיית צדק; לא הופיע העד בהתאם להחלטה, תהא הוועדה רשאית לכפות הופעתו בדרך צו הבאה באמצעות המשטרה או צה"ל, והיא רשאית להטיל עליו קנס או מאסר בגין אי-הופעתו, הכל בהתאם לאמור בסעיף 8(ג) לצו.</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יושב הראש, מיוזמתו או לבקשת צד, רשאי להאריך מועד שנקבע על ידי הוועדה או בתקנות אלה, למעט המועדים הקבועים בתקנות 12, 23, 41 ו-48.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ולא הוחל בשמיעת ראיות, תהא סמכות הארכת המועדים נתונה לנגיד.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בקשת צד להארכת מועד תידון לאחר שלצדדים האחרים תינתן הזדמנות להתייחס לבקשה.</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w:t>
                </w:r>
              </w:p>
            </w:txbxContent>
          </v:textbox>
        </v:rect>
      </w:pict>
      <w:r>
        <w:rPr>
          <w:lang w:bidi="he-IL"/>
          <w:rFonts w:hint="cs" w:cs="FrankRuehl"/>
          <w:szCs w:val="34"/>
          <w:rtl/>
        </w:rPr>
        <w:t xml:space="preserve">45.</w:t>
      </w:r>
      <w:r>
        <w:rPr>
          <w:lang w:bidi="he-IL"/>
          <w:rFonts w:hint="cs" w:cs="FrankRuehl"/>
          <w:szCs w:val="26"/>
          <w:rtl/>
        </w:rPr>
        <w:tab/>
        <w:t xml:space="preserve">בתקנה זו, "הוצאות" – שכר טרחת עורך דין והוצאות הדיון בוועדה.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הוועדה רשאית להטיל הוצאות, בכל הנוגע לדיוניה, על בעלי הדין, לטובת בעל דין שכנגד או לטובת אוצר המינהל האזרחי, או לטובת שניהם.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הוועדה על חיוב בהוצאות, תקבע הוועדה את סכום ההוצאות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אם נראה לה הדבר, לצוות על העורר ליתן ערובה לתשלום כל הוצאותיו של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ניתנה ערובה תוך המועד שנקבע, רשאית הוועדה, אף במעמד צד אחד, להורות על דחיית הערר; נדחה ערר לפי הוראה זו, רשאי העורר לבקש ביטול הדחייה, ואם נוכחה הוועדה שסיבה מספקת מנעה את העורר מליתן את הערובה תוך המועד שנקבע, תבטל הוועדה את הדחייה בתנאים שייראו לה.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בשל דחיית דיון או הארכת דיון או מועד</w:t>
                </w:r>
              </w:p>
            </w:txbxContent>
          </v:textbox>
        </v:rect>
      </w:pict>
      <w:r>
        <w:rPr>
          <w:lang w:bidi="he-IL"/>
          <w:rFonts w:hint="cs" w:cs="FrankRuehl"/>
          <w:szCs w:val="34"/>
          <w:rtl/>
        </w:rPr>
        <w:t xml:space="preserve">46.</w:t>
      </w:r>
      <w:r>
        <w:rPr>
          <w:lang w:bidi="he-IL"/>
          <w:rFonts w:hint="cs" w:cs="FrankRuehl"/>
          <w:szCs w:val="26"/>
          <w:rtl/>
        </w:rPr>
        <w:tab/>
        <w:t xml:space="preserve">ראתה הוועדה כי בעל דין או בא כוחו האריך את הדיון בכל הליך שלא לצורך, על ידי טענות סרק או בכל דרך אחרת, או שבשל מעשה או מחדל של בעל דין או בא כוחו נדחה הדיון או הוארך מועד, רשאית הוועדה באותו הליך, ללא קשר עם תוצאות הדיון בערר, להטיל עליו את הוצאות ההליך או הוצאות הדיון בערר כולו בשיעור שתמצא לנכון בנסיבות הענין, לטובת בעל הדין שכנגד או לטובת המינהל האזרחי, או לטובת שניהם.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בסדרי הדין</w:t>
                </w:r>
              </w:p>
            </w:txbxContent>
          </v:textbox>
        </v:rect>
      </w:pict>
      <w:r>
        <w:rPr>
          <w:lang w:bidi="he-IL"/>
          <w:rFonts w:hint="cs" w:cs="FrankRuehl"/>
          <w:szCs w:val="34"/>
          <w:rtl/>
        </w:rPr>
        <w:t xml:space="preserve">47.</w:t>
      </w:r>
      <w:r>
        <w:rPr>
          <w:lang w:bidi="he-IL"/>
          <w:rFonts w:hint="cs" w:cs="FrankRuehl"/>
          <w:szCs w:val="26"/>
          <w:rtl/>
        </w:rPr>
        <w:tab/>
        <w:t xml:space="preserve">הוועדה לא תפסול הליך, כולו או מקצתו, בשל פגם בסדרי הדין, לרבות אי קיום תקנות אלה, אם לדעתה הפגם לא יגרום עיוות דין או אם יש אפשרות סבירה לתקן את הפגם בדרך של דחיית דיון, לרבות תוך הטלת הוצאות, או בדרך אחרת.</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טעות סופר</w:t>
                </w:r>
              </w:p>
            </w:txbxContent>
          </v:textbox>
        </v:rect>
      </w:pict>
      <w:r>
        <w:rPr>
          <w:lang w:bidi="he-IL"/>
          <w:rFonts w:hint="cs" w:cs="FrankRuehl"/>
          <w:szCs w:val="34"/>
          <w:rtl/>
        </w:rPr>
        <w:t xml:space="preserve">48.</w:t>
      </w:r>
      <w:r>
        <w:rPr>
          <w:lang w:bidi="he-IL"/>
          <w:rFonts w:hint="cs" w:cs="FrankRuehl"/>
          <w:szCs w:val="26"/>
          <w:rtl/>
        </w:rPr>
        <w:tab/>
        <w:t xml:space="preserve">הוועדה רשאית לתקן כל טעות סופר או שגיאה שנפלו בהחלטתה בתוך שלושים יום ממתן ההחלטה, מחמת פליטת קולמוס או השמטה מקרית, לבקשת צד או מיוזמתה, לאחר שניתנה לצדדים הזדמנות להביע עמדתם.</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כתבי בי-דין</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כל בעל דין מחויב להמציא לבעלי הדין האחרים כל כתב בי-דין המוגש על ידו, למעט כתב הערר, אלא אם קבעה הוועדה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באי קיום האמור בתקנת משנה (א) כדי לאפשר לבעל הדין האחר לחרוג ממועד שנקבע להגשת כתב בי-דין על ידו, אלא אם ניתנה החלטה בדבר הארכת מועד.</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דיוני הוועדה</w:t>
                </w:r>
              </w:p>
            </w:txbxContent>
          </v:textbox>
        </v:rect>
      </w:pict>
      <w:r>
        <w:rPr>
          <w:lang w:bidi="he-IL"/>
          <w:rFonts w:hint="cs" w:cs="FrankRuehl"/>
          <w:szCs w:val="34"/>
          <w:rtl/>
        </w:rPr>
        <w:t xml:space="preserve">50.</w:t>
      </w:r>
      <w:r>
        <w:rPr>
          <w:lang w:bidi="he-IL"/>
          <w:rFonts w:hint="cs" w:cs="FrankRuehl"/>
          <w:szCs w:val="26"/>
          <w:rtl/>
        </w:rPr>
        <w:tab/>
        <w:t xml:space="preserve">דיוני הוועדה יתקיימו במקום שעליו יחליט יושב הראש.</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והוראות מעבר</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הוראות בדבר סדרי דין בוועדות עררים (יהודה והשומרון), התשמ"ז-1987 – 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לקבוע, לפי בקשת צד ולאחר שניתנה לצדדים האחרים הזדמנות להתייחס לבקשה, כי בעניין מסויים בערר שהוגש לפני תחילתן של תקנות אלה, ימשיכו לחול התקנות הקודמות, אם מצאה לעשות כן למען עשיית צדק.</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52.</w:t>
      </w:r>
      <w:r>
        <w:rPr>
          <w:lang w:bidi="he-IL"/>
          <w:rFonts w:hint="cs" w:cs="FrankRuehl"/>
          <w:szCs w:val="26"/>
          <w:rtl/>
        </w:rPr>
        <w:tab/>
        <w:t xml:space="preserve">תחילתן של תקנות אלה שישים יום מיום חתימתן והן יפורסמו בקובץ מנשרים.</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53.</w:t>
      </w:r>
      <w:r>
        <w:rPr>
          <w:lang w:bidi="he-IL"/>
          <w:rFonts w:hint="cs" w:cs="FrankRuehl"/>
          <w:szCs w:val="26"/>
          <w:rtl/>
        </w:rPr>
        <w:tab/>
        <w:t xml:space="preserve">תקנות אלה ייקראו: "תקנות בדבר ועדות עררים (סדרי דין) (יהודה והשומרון), התש"ע-2010".</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יואב (פולי) מרדכי, תת-אלוף</w:t>
                </w:r>
              </w:p>
              <w:p>
                <w:pPr>
                  <w:bidi/>
                  <w:spacing w:before="45" w:after="3" w:line="250" w:lineRule="auto"/>
                  <w:jc w:val="center"/>
                </w:pPr>
                <w:defaultTabStop w:val="720"/>
                <w:r>
                  <w:rPr>
                    <w:lang w:bidi="he-IL"/>
                    <w:rFonts w:hint="cs" w:cs="FrankRuehl"/>
                    <w:szCs w:val="22"/>
                    <w:rtl/>
                  </w:rPr>
                  <w:t xml:space="preserve">ראש המינהל האזרחי באזור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ועדות עררים (סדרי דין) (יהודה והשומרון),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33e4459ba3647e7" /><Relationship Type="http://schemas.openxmlformats.org/officeDocument/2006/relationships/header" Target="/word/header1.xml" Id="r97" /><Relationship Type="http://schemas.openxmlformats.org/officeDocument/2006/relationships/footer" Target="/word/footer1.xml" Id="r98" /></Relationships>
</file>