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2790a5ae4ba489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תכנון ערים, כפרים ובנינים (שיעור אגרה להגשת בקשה לפטור מרישיון) (יהודה והשומרון), תשפ"א-2021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שיעור האגרה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מתשלום אגרה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תשלום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ותחולה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תכנון ערים, כפרים ובנינים (שיעור אגרה להגשת בקשה לפטור מרישיון) (יהודה והשומרון), תשפ"א-2021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67 לחוק תכנון ערים, כפרים ובנינים, מס' 79 לשנת 1966, סעיף 4(ב) לצו בדבר הקמת מינהל אזרחי (יהודה והשומרון) (מס' 947), תשמ"ב-1981 ויתר סמכויותיי לפי כל דין או תחיקת בטחון, ובהמלצת מועצת התכנון העליונה, הנני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שיעור האגרה</w:t>
                </w:r>
              </w:p>
            </w:txbxContent>
          </v:textbox>
        </v:rect>
      </w:pict>
      <w:r>
        <w:rPr>
          <w:lang w:bidi="he-IL"/>
          <w:rFonts w:hint="cs" w:cs="FrankRuehl"/>
          <w:szCs w:val="34"/>
          <w:rtl/>
        </w:rPr>
        <w:t xml:space="preserve">1.</w:t>
      </w:r>
      <w:r>
        <w:rPr>
          <w:lang w:bidi="he-IL"/>
          <w:rFonts w:hint="cs" w:cs="FrankRuehl"/>
          <w:szCs w:val="26"/>
          <w:rtl/>
        </w:rPr>
        <w:tab/>
        <w:t xml:space="preserve">מגיש בקשה לפטור מרישיון ישלם אגרה בסך 500 שקלים חדשים.
בתקנות אלו –
"בקשה לפטור מרישיון" – בקשה לפי סעיף 7(4) לצו תכנון כפרים, ערים ובנינים (יהודה והשומרון) (מס' 418), התשל"א-1971.</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מתשלום אגרה</w:t>
                </w:r>
              </w:p>
            </w:txbxContent>
          </v:textbox>
        </v:rect>
      </w:pict>
      <w:r>
        <w:rPr>
          <w:lang w:bidi="he-IL"/>
          <w:rFonts w:hint="cs" w:cs="FrankRuehl"/>
          <w:szCs w:val="34"/>
          <w:rtl/>
        </w:rPr>
        <w:t xml:space="preserve">2.</w:t>
      </w:r>
      <w:r>
        <w:rPr>
          <w:lang w:bidi="he-IL"/>
          <w:rFonts w:hint="cs" w:cs="FrankRuehl"/>
          <w:szCs w:val="26"/>
          <w:rtl/>
        </w:rPr>
        <w:tab/>
        <w:t xml:space="preserve">מגיש בקשה לפטור מרישיון, הטוען שאין ביכולתו לשלם אגרה, יצרף לבקשה, עם הגשתה ללשכת התכנון, בקשה לפטור מתשלום אגרה בגין הבקשה לפטור מרישיון, בצירוף תצהיר שיפרט בו את רכושו, רכוש בן זוגו ורכוש הוריו אם הוא סמוך על שולחנם, וכן מקורות הכנסתו בששת החודשים האחרונים שקדמו למועד הגשת הבקשה לפטור מאגרה; הוגשה בקשה כאמור, רשאי יושב ראש מועצת התכנון העליונה לתת למגיש הבקשה, מנימוקים שירשמו, פטור מלא או חלקי מתשלום אגרה, במקרים חריגים שבהם, בהתחשב בהכנסותיו, ברכושו ובחובותיו המוכחים של מגיש הבקשה, אין ביכולתו לשלם את האגרה.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תשלום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מי שניתן לו פטור מרישיון, לא החל בעבודה, החזיר את הרישיון לוועדה בתוך שישה חודשים מיום הוצאתו, וצירף בקשה לבטלו – זכאי לקבלת מחצית האגרה.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התקבלה בקשה לפטור מרישיון, בחלקה או בשינויים, רשאי יושב ראש מועצת התכנון העליונה להשיב למגיש הבקשה את סכום האגרה, ובלבד שלא יעלה גובה ההחזר על מחצית סכום האגרה.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ותחולה</w:t>
                </w:r>
              </w:p>
            </w:txbxContent>
          </v:textbox>
        </v:rect>
      </w:pict>
      <w:r>
        <w:rPr>
          <w:lang w:bidi="he-IL"/>
          <w:rFonts w:hint="cs" w:cs="FrankRuehl"/>
          <w:szCs w:val="34"/>
          <w:rtl/>
        </w:rPr>
        <w:t xml:space="preserve">4.</w:t>
      </w:r>
      <w:r>
        <w:rPr>
          <w:lang w:bidi="he-IL"/>
          <w:rFonts w:hint="cs" w:cs="FrankRuehl"/>
          <w:szCs w:val="26"/>
          <w:rtl/>
        </w:rPr>
        <w:tab/>
        <w:t xml:space="preserve">תחילתן של תקנות אלה שלושים ימים מיום חתימתן.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5.</w:t>
      </w:r>
      <w:r>
        <w:rPr>
          <w:lang w:bidi="he-IL"/>
          <w:rFonts w:hint="cs" w:cs="FrankRuehl"/>
          <w:szCs w:val="26"/>
          <w:rtl/>
        </w:rPr>
        <w:tab/>
        <w:t xml:space="preserve">תקנות אלה תיקראנה: "תקנות תכנון ערים, כפרים ובנינים (שיעור אגרה להגשת בקשה לפטור מרישיון) (יהודה והשומרון), התשפ"א-2021.</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תא"ל פארס עטילה</w:t>
                </w:r>
              </w:p>
              <w:p>
                <w:pPr>
                  <w:bidi/>
                  <w:spacing w:before="45" w:after="3" w:line="250" w:lineRule="auto"/>
                  <w:jc w:val="center"/>
                </w:pPr>
                <w:defaultTabStop w:val="720"/>
                <w:r>
                  <w:rPr>
                    <w:lang w:bidi="he-IL"/>
                    <w:rFonts w:hint="cs" w:cs="FrankRuehl"/>
                    <w:szCs w:val="22"/>
                    <w:rtl/>
                  </w:rPr>
                  <w:t xml:space="preserve">ראש המינהל האזרחי</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תכנון ערים, כפרים ובנינים (שיעור אגרה להגשת בקשה לפטור מרישיון) (יהודה והשומרון), תשפ"א-2021,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74734799a414dd7" /><Relationship Type="http://schemas.openxmlformats.org/officeDocument/2006/relationships/header" Target="/word/header1.xml" Id="r97" /><Relationship Type="http://schemas.openxmlformats.org/officeDocument/2006/relationships/footer" Target="/word/footer1.xml" Id="r98" /></Relationships>
</file>