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0"/>
        <w:jc w:val="center"/>
      </w:pPr>
      <w:r>
        <w:rPr>
          <w:rFonts w:ascii="Calibri" w:cs="Calibri" w:eastAsia="Calibri" w:hAnsi="Calibri"/>
          <w:b/>
          <w:bCs/>
          <w:color w:val="0c1f17"/>
          <w:sz w:val="50"/>
          <w:szCs w:val="50"/>
        </w:rPr>
        <w:t xml:space="preserve">ULTIMATE SQUAD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e0a800"/>
          <w:sz w:val="32"/>
          <w:szCs w:val="32"/>
        </w:rPr>
        <w:t xml:space="preserve">Checklist de déploiement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a6b62"/>
          <w:sz w:val="22"/>
          <w:szCs w:val="22"/>
        </w:rPr>
        <w:t xml:space="preserve">À suivre dans l'ordre, en cochant chaque étape</w:t>
      </w:r>
    </w:p>
    <w:p>
      <w:pPr>
        <w:pageBreakBefore/>
      </w:pPr>
      <w:r>
        <w:rPr>
          <w:rFonts w:ascii="Calibri" w:cs="Calibri" w:eastAsia="Calibri" w:hAnsi="Calibri"/>
          <w:color w:val="1a2620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c1f17"/>
          <w:sz w:val="32"/>
          <w:szCs w:val="32"/>
        </w:rPr>
        <w:t xml:space="preserve">Avant de commencer</w:t>
      </w:r>
    </w:p>
    <w:tbl>
      <w:tblPr>
        <w:tblW w:type="pct" w:w="100%"/>
        <w:tblBorders>
          <w:top w:val="single" w:color="e0574a" w:sz="4"/>
          <w:left w:val="single" w:color="e0574a" w:sz="24"/>
          <w:bottom w:val="single" w:color="e0574a" w:sz="4"/>
          <w:right w:val="single" w:color="e0574a" w:sz="4"/>
          <w:insideH w:val="none"/>
          <w:insideV w:val="none"/>
        </w:tblBorders>
      </w:tblPr>
      <w:tblGrid>
        <w:gridCol w:w="100"/>
      </w:tblGrid>
      <w:tr>
        <w:tc>
          <w:tcPr>
            <w:shd w:fill="fbeae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e0574a"/>
                <w:sz w:val="18"/>
                <w:szCs w:val="18"/>
              </w:rPr>
              <w:t xml:space="preserve">Les 4 règles d'or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2620"/>
                <w:sz w:val="22"/>
                <w:szCs w:val="22"/>
              </w:rPr>
              <w:t xml:space="preserve">1. Un script à la fois, dans l'ordre.</w:t>
            </w: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 Ne saute jamais un numéro. Chaque script s'appuie sur les précédents.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2620"/>
                <w:sz w:val="22"/>
                <w:szCs w:val="22"/>
              </w:rPr>
              <w:t xml:space="preserve">2. Par sections si le script est long.</w:t>
            </w: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 Le SQL Editor de Supabase peut échouer silencieusement au milieu d'un gros script. Passe-le en morceaux et vérifie chaque fonction.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2620"/>
                <w:sz w:val="22"/>
                <w:szCs w:val="22"/>
              </w:rPr>
              <w:t xml:space="preserve">3. Vérifie après chaque script.</w:t>
            </w: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 Utilise la requête de vérification fournie. Si elle ne renvoie rien, le script n'a pas pris — recommence avant de continuer.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620"/>
                <w:sz w:val="22"/>
                <w:szCs w:val="22"/>
              </w:rPr>
              <w:t xml:space="preserve">4. Sauvegarde d'abord.</w:t>
            </w: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 Fais une sauvegarde de la base avant de commencer (surtout si des données existent déjà).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a2620"/>
          <w:sz w:val="22"/>
          <w:szCs w:val="22"/>
        </w:rPr>
        <w:t xml:space="preserve">Ce déploiement suppose que les scripts </w:t>
      </w: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01 à 23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 sont déjà en place (le socle du jeu). Cette checklist couvre les scripts </w:t>
      </w: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24 à 34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 plus le durcissement de sécurité, c'est-à-dire tout ce qui a été ajouté récemment. Si tu repars d'une base vierge, il faut passer 01 à 23 d'abord, dans l'ordre.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c1f17"/>
          <w:sz w:val="32"/>
          <w:szCs w:val="32"/>
        </w:rPr>
        <w:t xml:space="preserve">Partie 1 — Les scripts SQL</w:t>
      </w:r>
    </w:p>
    <w:p>
      <w:pPr>
        <w:spacing w:after="120" w:line="276"/>
      </w:pPr>
      <w:r>
        <w:rPr>
          <w:rFonts w:ascii="Calibri" w:cs="Calibri" w:eastAsia="Calibri" w:hAnsi="Calibri"/>
          <w:color w:val="1a2620"/>
          <w:sz w:val="22"/>
          <w:szCs w:val="22"/>
        </w:rPr>
        <w:t xml:space="preserve">Ouvre le SQL Editor de Supabase. Passe chaque script, puis colle la requête de vérification. Coche la case ☐ quand c'est validé.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e0a800"/>
          <w:sz w:val="25"/>
          <w:szCs w:val="25"/>
        </w:rPr>
        <w:t xml:space="preserve">Scripts 24 à 29 (mécaniques de jeu)</w:t>
      </w:r>
    </w:p>
    <w:tbl>
      <w:tblPr>
        <w:tblW w:type="pct" w:w="100%"/>
        <w:tblBorders>
          <w:top w:val="single" w:color="d8e0da" w:sz="2"/>
          <w:left w:val="none"/>
          <w:bottom w:val="single" w:color="d8e0da" w:sz="2"/>
          <w:right w:val="none"/>
          <w:insideH w:val="single" w:color="e8ede9" w:sz="2"/>
          <w:insideV w:val="single" w:color="f0f3f1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0c1f1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ef3ea"/>
                <w:sz w:val="18"/>
                <w:szCs w:val="18"/>
              </w:rPr>
              <w:t xml:space="preserve">✓</w:t>
            </w:r>
          </w:p>
        </w:tc>
        <w:tc>
          <w:tcPr>
            <w:tcW w:type="pct" w:w="20%"/>
            <w:shd w:fill="0c1f1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ef3ea"/>
                <w:sz w:val="18"/>
                <w:szCs w:val="18"/>
              </w:rPr>
              <w:t xml:space="preserve">Script</w:t>
            </w:r>
          </w:p>
        </w:tc>
        <w:tc>
          <w:tcPr>
            <w:tcW w:type="pct" w:w="34%"/>
            <w:shd w:fill="0c1f1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ef3ea"/>
                <w:sz w:val="18"/>
                <w:szCs w:val="18"/>
              </w:rPr>
              <w:t xml:space="preserve">Ce qu'il fait</w:t>
            </w:r>
          </w:p>
        </w:tc>
        <w:tc>
          <w:tcPr>
            <w:tcW w:type="pct" w:w="40%"/>
            <w:shd w:fill="0c1f1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ef3ea"/>
                <w:sz w:val="18"/>
                <w:szCs w:val="18"/>
              </w:rPr>
              <w:t xml:space="preserve">Vérification après</w:t>
            </w:r>
          </w:p>
        </w:tc>
      </w:tr>
      <w:tr>
        <w:tc>
          <w:tcPr>
            <w:shd w:fill="eef3e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☐</w:t>
            </w:r>
          </w:p>
        </w:tc>
        <w:tc>
          <w:tcPr>
            <w:shd w:fill="ee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b3d2e"/>
                <w:sz w:val="16"/>
                <w:szCs w:val="16"/>
              </w:rPr>
              <w:t xml:space="preserve">24_salary_grid</w:t>
            </w:r>
          </w:p>
        </w:tc>
        <w:tc>
          <w:tcPr>
            <w:shd w:fill="ee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620"/>
                <w:sz w:val="17"/>
                <w:szCs w:val="17"/>
              </w:rPr>
              <w:t xml:space="preserve">Grille salariale sur le prix (Audrey v2)</w:t>
            </w:r>
          </w:p>
        </w:tc>
        <w:tc>
          <w:tcPr>
            <w:shd w:fill="ee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444444"/>
                <w:sz w:val="14"/>
                <w:szCs w:val="14"/>
              </w:rPr>
              <w:t xml:space="preserve">select proname from pg_proc where proname='qm_player_salary';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☐</w:t>
            </w:r>
          </w:p>
        </w:tc>
        <w:tc>
          <w:tcPr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b3d2e"/>
                <w:sz w:val="16"/>
                <w:szCs w:val="16"/>
              </w:rPr>
              <w:t xml:space="preserve">25_note_criteres</w:t>
            </w:r>
          </w:p>
        </w:tc>
        <w:tc>
          <w:tcPr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620"/>
                <w:sz w:val="17"/>
                <w:szCs w:val="17"/>
              </w:rPr>
              <w:t xml:space="preserve">Note sur 7 critères pondérés</w:t>
            </w:r>
          </w:p>
        </w:tc>
        <w:tc>
          <w:tcPr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444444"/>
                <w:sz w:val="14"/>
                <w:szCs w:val="14"/>
              </w:rPr>
              <w:t xml:space="preserve">select proname from pg_proc where proname='qm_rating';</w:t>
            </w:r>
          </w:p>
        </w:tc>
      </w:tr>
      <w:tr>
        <w:tc>
          <w:tcPr>
            <w:shd w:fill="eef3e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☐</w:t>
            </w:r>
          </w:p>
        </w:tc>
        <w:tc>
          <w:tcPr>
            <w:shd w:fill="ee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b3d2e"/>
                <w:sz w:val="16"/>
                <w:szCs w:val="16"/>
              </w:rPr>
              <w:t xml:space="preserve">26_note_display</w:t>
            </w:r>
          </w:p>
        </w:tc>
        <w:tc>
          <w:tcPr>
            <w:shd w:fill="ee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620"/>
                <w:sz w:val="17"/>
                <w:szCs w:val="17"/>
              </w:rPr>
              <w:t xml:space="preserve">Jauge de couleur, note cachée</w:t>
            </w:r>
          </w:p>
        </w:tc>
        <w:tc>
          <w:tcPr>
            <w:shd w:fill="ee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444444"/>
                <w:sz w:val="14"/>
                <w:szCs w:val="14"/>
              </w:rPr>
              <w:t xml:space="preserve">select proname from pg_proc where proname='qm_players_view';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☐</w:t>
            </w:r>
          </w:p>
        </w:tc>
        <w:tc>
          <w:tcPr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b3d2e"/>
                <w:sz w:val="16"/>
                <w:szCs w:val="16"/>
              </w:rPr>
              <w:t xml:space="preserve">27_price_from_note</w:t>
            </w:r>
          </w:p>
        </w:tc>
        <w:tc>
          <w:tcPr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620"/>
                <w:sz w:val="17"/>
                <w:szCs w:val="17"/>
              </w:rPr>
              <w:t xml:space="preserve">Prix de départ dérivé de la note</w:t>
            </w:r>
          </w:p>
        </w:tc>
        <w:tc>
          <w:tcPr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444444"/>
                <w:sz w:val="14"/>
                <w:szCs w:val="14"/>
              </w:rPr>
              <w:t xml:space="preserve">select proname from pg_proc where proname='qm_price_from_note';</w:t>
            </w:r>
          </w:p>
        </w:tc>
      </w:tr>
      <w:tr>
        <w:tc>
          <w:tcPr>
            <w:shd w:fill="eef3e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☐</w:t>
            </w:r>
          </w:p>
        </w:tc>
        <w:tc>
          <w:tcPr>
            <w:shd w:fill="ee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b3d2e"/>
                <w:sz w:val="16"/>
                <w:szCs w:val="16"/>
              </w:rPr>
              <w:t xml:space="preserve">28_bid_rules</w:t>
            </w:r>
          </w:p>
        </w:tc>
        <w:tc>
          <w:tcPr>
            <w:shd w:fill="ee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620"/>
                <w:sz w:val="17"/>
                <w:szCs w:val="17"/>
              </w:rPr>
              <w:t xml:space="preserve">Cooldown, phase finale (anti-snipe retiré)</w:t>
            </w:r>
          </w:p>
        </w:tc>
        <w:tc>
          <w:tcPr>
            <w:shd w:fill="ee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444444"/>
                <w:sz w:val="14"/>
                <w:szCs w:val="14"/>
              </w:rPr>
              <w:t xml:space="preserve">select pg_get_functiondef('qm_place_bid'::regproc) like '%final_phase%' as ok;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☐</w:t>
            </w:r>
          </w:p>
        </w:tc>
        <w:tc>
          <w:tcPr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b3d2e"/>
                <w:sz w:val="16"/>
                <w:szCs w:val="16"/>
              </w:rPr>
              <w:t xml:space="preserve">29_release</w:t>
            </w:r>
          </w:p>
        </w:tc>
        <w:tc>
          <w:tcPr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620"/>
                <w:sz w:val="17"/>
                <w:szCs w:val="17"/>
              </w:rPr>
              <w:t xml:space="preserve">Libération de joueur (pénalité progressive)</w:t>
            </w:r>
          </w:p>
        </w:tc>
        <w:tc>
          <w:tcPr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444444"/>
                <w:sz w:val="14"/>
                <w:szCs w:val="14"/>
              </w:rPr>
              <w:t xml:space="preserve">select proname from pg_proc where proname='qm_release_player';</w:t>
            </w:r>
          </w:p>
        </w:tc>
      </w:tr>
    </w:tbl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e0a800"/>
          <w:sz w:val="25"/>
          <w:szCs w:val="25"/>
        </w:rPr>
        <w:t xml:space="preserve">Scripts 30 à 34 (sécurité, anti-abus, extensions)</w:t>
      </w:r>
    </w:p>
    <w:tbl>
      <w:tblPr>
        <w:tblW w:type="pct" w:w="100%"/>
        <w:tblBorders>
          <w:top w:val="single" w:color="d8e0da" w:sz="2"/>
          <w:left w:val="none"/>
          <w:bottom w:val="single" w:color="d8e0da" w:sz="2"/>
          <w:right w:val="none"/>
          <w:insideH w:val="single" w:color="e8ede9" w:sz="2"/>
          <w:insideV w:val="single" w:color="f0f3f1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0c1f1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ef3ea"/>
                <w:sz w:val="18"/>
                <w:szCs w:val="18"/>
              </w:rPr>
              <w:t xml:space="preserve">✓</w:t>
            </w:r>
          </w:p>
        </w:tc>
        <w:tc>
          <w:tcPr>
            <w:tcW w:type="pct" w:w="20%"/>
            <w:shd w:fill="0c1f1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ef3ea"/>
                <w:sz w:val="18"/>
                <w:szCs w:val="18"/>
              </w:rPr>
              <w:t xml:space="preserve">Script</w:t>
            </w:r>
          </w:p>
        </w:tc>
        <w:tc>
          <w:tcPr>
            <w:tcW w:type="pct" w:w="34%"/>
            <w:shd w:fill="0c1f1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ef3ea"/>
                <w:sz w:val="18"/>
                <w:szCs w:val="18"/>
              </w:rPr>
              <w:t xml:space="preserve">Ce qu'il fait</w:t>
            </w:r>
          </w:p>
        </w:tc>
        <w:tc>
          <w:tcPr>
            <w:tcW w:type="pct" w:w="40%"/>
            <w:shd w:fill="0c1f17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ef3ea"/>
                <w:sz w:val="18"/>
                <w:szCs w:val="18"/>
              </w:rPr>
              <w:t xml:space="preserve">Vérification après</w:t>
            </w:r>
          </w:p>
        </w:tc>
      </w:tr>
      <w:tr>
        <w:tc>
          <w:tcPr>
            <w:shd w:fill="eef3e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☐</w:t>
            </w:r>
          </w:p>
        </w:tc>
        <w:tc>
          <w:tcPr>
            <w:shd w:fill="ee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b3d2e"/>
                <w:sz w:val="16"/>
                <w:szCs w:val="16"/>
              </w:rPr>
              <w:t xml:space="preserve">30_hardening</w:t>
            </w:r>
          </w:p>
        </w:tc>
        <w:tc>
          <w:tcPr>
            <w:shd w:fill="ee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620"/>
                <w:sz w:val="17"/>
                <w:szCs w:val="17"/>
              </w:rPr>
              <w:t xml:space="preserve">Durcissement : retire anon des fonctions admin</w:t>
            </w:r>
          </w:p>
        </w:tc>
        <w:tc>
          <w:tcPr>
            <w:shd w:fill="ee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444444"/>
                <w:sz w:val="14"/>
                <w:szCs w:val="14"/>
              </w:rPr>
              <w:t xml:space="preserve">(voir le bloc de contrôle en bas du script)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☐</w:t>
            </w:r>
          </w:p>
        </w:tc>
        <w:tc>
          <w:tcPr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b3d2e"/>
                <w:sz w:val="16"/>
                <w:szCs w:val="16"/>
              </w:rPr>
              <w:t xml:space="preserve">31_antiabuse</w:t>
            </w:r>
          </w:p>
        </w:tc>
        <w:tc>
          <w:tcPr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620"/>
                <w:sz w:val="17"/>
                <w:szCs w:val="17"/>
              </w:rPr>
              <w:t xml:space="preserve">Condition dénicheur, limite menées, anti-collusion</w:t>
            </w:r>
          </w:p>
        </w:tc>
        <w:tc>
          <w:tcPr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444444"/>
                <w:sz w:val="14"/>
                <w:szCs w:val="14"/>
              </w:rPr>
              <w:t xml:space="preserve">select proname from pg_proc where proname='qm_admin_set_antiabuse';</w:t>
            </w:r>
          </w:p>
        </w:tc>
      </w:tr>
      <w:tr>
        <w:tc>
          <w:tcPr>
            <w:shd w:fill="eef3e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☐</w:t>
            </w:r>
          </w:p>
        </w:tc>
        <w:tc>
          <w:tcPr>
            <w:shd w:fill="ee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b3d2e"/>
                <w:sz w:val="16"/>
                <w:szCs w:val="16"/>
              </w:rPr>
              <w:t xml:space="preserve">32_values_import</w:t>
            </w:r>
          </w:p>
        </w:tc>
        <w:tc>
          <w:tcPr>
            <w:shd w:fill="ee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620"/>
                <w:sz w:val="17"/>
                <w:szCs w:val="17"/>
              </w:rPr>
              <w:t xml:space="preserve">Saisie/import des valeurs (Transfermarkt)</w:t>
            </w:r>
          </w:p>
        </w:tc>
        <w:tc>
          <w:tcPr>
            <w:shd w:fill="ee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444444"/>
                <w:sz w:val="14"/>
                <w:szCs w:val="14"/>
              </w:rPr>
              <w:t xml:space="preserve">select proname from pg_proc where proname='qm_admin_bulk_values';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☐</w:t>
            </w:r>
          </w:p>
        </w:tc>
        <w:tc>
          <w:tcPr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b3d2e"/>
                <w:sz w:val="16"/>
                <w:szCs w:val="16"/>
              </w:rPr>
              <w:t xml:space="preserve">33_paquet_a</w:t>
            </w:r>
          </w:p>
        </w:tc>
        <w:tc>
          <w:tcPr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620"/>
                <w:sz w:val="17"/>
                <w:szCs w:val="17"/>
              </w:rPr>
              <w:t xml:space="preserve">Budget 1 Md, bonus, conversion points</w:t>
            </w:r>
          </w:p>
        </w:tc>
        <w:tc>
          <w:tcPr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444444"/>
                <w:sz w:val="14"/>
                <w:szCs w:val="14"/>
              </w:rPr>
              <w:t xml:space="preserve">SECTION 0 (enum) SEULE et EN PREMIER, puis le reste</w:t>
            </w:r>
          </w:p>
        </w:tc>
      </w:tr>
      <w:tr>
        <w:tc>
          <w:tcPr>
            <w:shd w:fill="eef3ea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☐</w:t>
            </w:r>
          </w:p>
        </w:tc>
        <w:tc>
          <w:tcPr>
            <w:shd w:fill="ee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b3d2e"/>
                <w:sz w:val="16"/>
                <w:szCs w:val="16"/>
              </w:rPr>
              <w:t xml:space="preserve">34_notifications</w:t>
            </w:r>
          </w:p>
        </w:tc>
        <w:tc>
          <w:tcPr>
            <w:shd w:fill="ee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a2620"/>
                <w:sz w:val="17"/>
                <w:szCs w:val="17"/>
              </w:rPr>
              <w:t xml:space="preserve">Notifications à la volée</w:t>
            </w:r>
          </w:p>
        </w:tc>
        <w:tc>
          <w:tcPr>
            <w:shd w:fill="eef3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444444"/>
                <w:sz w:val="14"/>
                <w:szCs w:val="14"/>
              </w:rPr>
              <w:t xml:space="preserve">select proname from pg_proc where proname='qm_my_notifications';</w:t>
            </w:r>
          </w:p>
        </w:tc>
      </w:tr>
    </w:tbl>
    <w:tbl>
      <w:tblPr>
        <w:tblW w:type="pct" w:w="100%"/>
        <w:tblBorders>
          <w:top w:val="single" w:color="e0a800" w:sz="4"/>
          <w:left w:val="single" w:color="e0a800" w:sz="24"/>
          <w:bottom w:val="single" w:color="e0a800" w:sz="4"/>
          <w:right w:val="single" w:color="e0a800" w:sz="4"/>
          <w:insideH w:val="none"/>
          <w:insideV w:val="none"/>
        </w:tblBorders>
      </w:tblPr>
      <w:tblGrid>
        <w:gridCol w:w="100"/>
      </w:tblGrid>
      <w:tr>
        <w:tc>
          <w:tcPr>
            <w:shd w:fill="fdf6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e0a800"/>
                <w:sz w:val="18"/>
                <w:szCs w:val="18"/>
              </w:rPr>
              <w:t xml:space="preserve">Piège du script 33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Le script 33 crée de nouvelles valeurs d'enum (</w:t>
            </w:r>
            <w:r>
              <w:rPr>
                <w:rFonts w:ascii="Consolas" w:cs="Consolas" w:eastAsia="Consolas" w:hAnsi="Consolas"/>
                <w:color w:val="0b3d2e"/>
                <w:sz w:val="18"/>
                <w:szCs w:val="18"/>
              </w:rPr>
              <w:t xml:space="preserve">same_pos, poker, convert</w:t>
            </w: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). PostgreSQL </w:t>
            </w:r>
            <w:r>
              <w:rPr>
                <w:rFonts w:ascii="Calibri" w:cs="Calibri" w:eastAsia="Calibri" w:hAnsi="Calibri"/>
                <w:b/>
                <w:bCs/>
                <w:color w:val="1a2620"/>
                <w:sz w:val="22"/>
                <w:szCs w:val="22"/>
              </w:rPr>
              <w:t xml:space="preserve">refuse</w:t>
            </w: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 d'utiliser une valeur d'enum dans la même transaction que sa création. Tu DOIS passer la </w:t>
            </w:r>
            <w:r>
              <w:rPr>
                <w:rFonts w:ascii="Calibri" w:cs="Calibri" w:eastAsia="Calibri" w:hAnsi="Calibri"/>
                <w:b/>
                <w:bCs/>
                <w:color w:val="1a2620"/>
                <w:sz w:val="22"/>
                <w:szCs w:val="22"/>
              </w:rPr>
              <w:t xml:space="preserve">SECTION 0 seule</w:t>
            </w: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, attendre « Success », PUIS passer le reste du script. Sinon : erreur « unsafe use of new value of enum type ».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c1f17"/>
          <w:sz w:val="32"/>
          <w:szCs w:val="32"/>
        </w:rPr>
        <w:t xml:space="preserve">Partie 2 — Vérifier le durcissement</w:t>
      </w:r>
    </w:p>
    <w:p>
      <w:pPr>
        <w:spacing w:after="120" w:line="276"/>
      </w:pPr>
      <w:r>
        <w:rPr>
          <w:rFonts w:ascii="Calibri" w:cs="Calibri" w:eastAsia="Calibri" w:hAnsi="Calibri"/>
          <w:color w:val="1a2620"/>
          <w:sz w:val="22"/>
          <w:szCs w:val="22"/>
        </w:rPr>
        <w:t xml:space="preserve">Après le script 30, passe le bloc de contrôle (en bas du script) pour confirmer que les fonctions sensibles ne sont plus accessibles au rôle anon :</w:t>
      </w:r>
    </w:p>
    <w:p>
      <w:pPr>
        <w:pBdr>
          <w:left w:val="single" w:color="2e7d46" w:sz="12"/>
        </w:pBdr>
        <w:shd w:fill="eef3ea" w:color="auto" w:val="clear"/>
        <w:spacing w:after="60" w:line="260"/>
        <w:ind w:left="200"/>
      </w:pPr>
      <w:r>
        <w:rPr>
          <w:rFonts w:ascii="Consolas" w:cs="Consolas" w:eastAsia="Consolas" w:hAnsi="Consolas"/>
          <w:color w:val="0b3d2e"/>
          <w:sz w:val="18"/>
          <w:szCs w:val="18"/>
        </w:rPr>
        <w:t xml:space="preserve">select p.proname, array_agg(distinct acl.grantee::regrole::text)</w:t>
      </w:r>
    </w:p>
    <w:p>
      <w:pPr>
        <w:pBdr>
          <w:left w:val="single" w:color="2e7d46" w:sz="12"/>
        </w:pBdr>
        <w:shd w:fill="eef3ea" w:color="auto" w:val="clear"/>
        <w:spacing w:after="60" w:line="260"/>
        <w:ind w:left="200"/>
      </w:pPr>
      <w:r>
        <w:rPr>
          <w:rFonts w:ascii="Consolas" w:cs="Consolas" w:eastAsia="Consolas" w:hAnsi="Consolas"/>
          <w:color w:val="0b3d2e"/>
          <w:sz w:val="18"/>
          <w:szCs w:val="18"/>
        </w:rPr>
        <w:t xml:space="preserve">from pg_proc p join pg_namespace n on n.oid=p.pronamespace</w:t>
      </w:r>
    </w:p>
    <w:p>
      <w:pPr>
        <w:pBdr>
          <w:left w:val="single" w:color="2e7d46" w:sz="12"/>
        </w:pBdr>
        <w:shd w:fill="eef3ea" w:color="auto" w:val="clear"/>
        <w:spacing w:after="60" w:line="260"/>
        <w:ind w:left="200"/>
      </w:pPr>
      <w:r>
        <w:rPr>
          <w:rFonts w:ascii="Consolas" w:cs="Consolas" w:eastAsia="Consolas" w:hAnsi="Consolas"/>
          <w:color w:val="0b3d2e"/>
          <w:sz w:val="18"/>
          <w:szCs w:val="18"/>
        </w:rPr>
        <w:t xml:space="preserve">cross join lateral aclexplode(p.proacl) acl</w:t>
      </w:r>
    </w:p>
    <w:p>
      <w:pPr>
        <w:pBdr>
          <w:left w:val="single" w:color="2e7d46" w:sz="12"/>
        </w:pBdr>
        <w:shd w:fill="eef3ea" w:color="auto" w:val="clear"/>
        <w:spacing w:after="60" w:line="260"/>
        <w:ind w:left="200"/>
      </w:pPr>
      <w:r>
        <w:rPr>
          <w:rFonts w:ascii="Consolas" w:cs="Consolas" w:eastAsia="Consolas" w:hAnsi="Consolas"/>
          <w:color w:val="0b3d2e"/>
          <w:sz w:val="18"/>
          <w:szCs w:val="18"/>
        </w:rPr>
        <w:t xml:space="preserve">where n.nspname='public' and p.proname like 'qm_%'</w:t>
      </w:r>
    </w:p>
    <w:p>
      <w:pPr>
        <w:pBdr>
          <w:left w:val="single" w:color="2e7d46" w:sz="12"/>
        </w:pBdr>
        <w:shd w:fill="eef3ea" w:color="auto" w:val="clear"/>
        <w:spacing w:after="60" w:line="260"/>
        <w:ind w:left="200"/>
      </w:pPr>
      <w:r>
        <w:rPr>
          <w:rFonts w:ascii="Consolas" w:cs="Consolas" w:eastAsia="Consolas" w:hAnsi="Consolas"/>
          <w:color w:val="0b3d2e"/>
          <w:sz w:val="18"/>
          <w:szCs w:val="18"/>
        </w:rPr>
        <w:t xml:space="preserve">and acl.grantee::regrole::text='anon'</w:t>
      </w:r>
    </w:p>
    <w:p>
      <w:pPr>
        <w:pBdr>
          <w:left w:val="single" w:color="2e7d46" w:sz="12"/>
        </w:pBdr>
        <w:shd w:fill="eef3ea" w:color="auto" w:val="clear"/>
        <w:spacing w:after="60" w:line="260"/>
        <w:ind w:left="200"/>
      </w:pPr>
      <w:r>
        <w:rPr>
          <w:rFonts w:ascii="Consolas" w:cs="Consolas" w:eastAsia="Consolas" w:hAnsi="Consolas"/>
          <w:color w:val="0b3d2e"/>
          <w:sz w:val="18"/>
          <w:szCs w:val="18"/>
        </w:rPr>
        <w:t xml:space="preserve">group by p.proname order by p.proname;</w:t>
      </w:r>
    </w:p>
    <w:p>
      <w:pPr>
        <w:spacing w:after="120" w:line="276"/>
      </w:pPr>
      <w:r>
        <w:rPr>
          <w:rFonts w:ascii="Calibri" w:cs="Calibri" w:eastAsia="Calibri" w:hAnsi="Calibri"/>
          <w:color w:val="1a2620"/>
          <w:sz w:val="22"/>
          <w:szCs w:val="22"/>
        </w:rPr>
        <w:t xml:space="preserve">Le résultat ne doit contenir </w:t>
      </w: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que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 des fonctions d'affichage/calcul public (qm_get_theme, qm_players_view, qm_rating, qm_player_salary…). </w:t>
      </w: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Aucun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 qm_admin_*, qm_place_bid, qm_trade_*, qm_release_* ni qm_my_*.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c1f17"/>
          <w:sz w:val="32"/>
          <w:szCs w:val="32"/>
        </w:rPr>
        <w:t xml:space="preserve">Partie 3 — Les fichiers du site</w:t>
      </w:r>
    </w:p>
    <w:p>
      <w:pPr>
        <w:spacing w:after="120" w:line="276"/>
      </w:pPr>
      <w:r>
        <w:rPr>
          <w:rFonts w:ascii="Calibri" w:cs="Calibri" w:eastAsia="Calibri" w:hAnsi="Calibri"/>
          <w:color w:val="1a2620"/>
          <w:sz w:val="22"/>
          <w:szCs w:val="22"/>
        </w:rPr>
        <w:t xml:space="preserve">Une fois le SQL en place, déploie le front. Dans ton dossier local quiz-mercato :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api.js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 → remplace le fichier, puis </w:t>
      </w: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réinjecte ta clé anon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 (le placeholder TON_ANON_KEY). Il doit compter 75 fonctions exportées.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index.html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 et </w:t>
      </w: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admin.html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 → remplace-les dans le dossier.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_headers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 → place-le à la RACINE (même niveau qu'index.html). C'est le fichier de sécurité (CSP).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rFonts w:ascii="Calibri" w:cs="Calibri" w:eastAsia="Calibri" w:hAnsi="Calibri"/>
          <w:color w:val="1a2620"/>
          <w:sz w:val="22"/>
          <w:szCs w:val="22"/>
        </w:rPr>
        <w:t xml:space="preserve">Lance le déploiement : </w:t>
      </w:r>
      <w:r>
        <w:rPr>
          <w:rFonts w:ascii="Consolas" w:cs="Consolas" w:eastAsia="Consolas" w:hAnsi="Consolas"/>
          <w:color w:val="0b3d2e"/>
          <w:sz w:val="18"/>
          <w:szCs w:val="18"/>
        </w:rPr>
        <w:t xml:space="preserve">powershell -ExecutionPolicy Bypass -File .\deploy.ps1 -Message "..."</w:t>
      </w:r>
    </w:p>
    <w:tbl>
      <w:tblPr>
        <w:tblW w:type="pct" w:w="100%"/>
        <w:tblBorders>
          <w:top w:val="single" w:color="2c6e8f" w:sz="4"/>
          <w:left w:val="single" w:color="2c6e8f" w:sz="24"/>
          <w:bottom w:val="single" w:color="2c6e8f" w:sz="4"/>
          <w:right w:val="single" w:color="2c6e8f" w:sz="4"/>
          <w:insideH w:val="none"/>
          <w:insideV w:val="none"/>
        </w:tblBorders>
      </w:tblPr>
      <w:tblGrid>
        <w:gridCol w:w="100"/>
      </w:tblGrid>
      <w:tr>
        <w:tc>
          <w:tcPr>
            <w:shd w:fill="eaf2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2c6e8f"/>
                <w:sz w:val="18"/>
                <w:szCs w:val="18"/>
              </w:rPr>
              <w:t xml:space="preserve">Vérifier le déploiement front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1. Sur le site, console (F12) : </w:t>
            </w:r>
            <w:r>
              <w:rPr>
                <w:rFonts w:ascii="Consolas" w:cs="Consolas" w:eastAsia="Consolas" w:hAnsi="Consolas"/>
                <w:color w:val="0b3d2e"/>
                <w:sz w:val="18"/>
                <w:szCs w:val="18"/>
              </w:rPr>
              <w:t xml:space="preserve">import('./js/api.js').then(m=&gt;console.log(Object.keys(m).length))</w:t>
            </w: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 doit afficher </w:t>
            </w:r>
            <w:r>
              <w:rPr>
                <w:rFonts w:ascii="Calibri" w:cs="Calibri" w:eastAsia="Calibri" w:hAnsi="Calibri"/>
                <w:b/>
                <w:bCs/>
                <w:color w:val="1a2620"/>
                <w:sz w:val="22"/>
                <w:szCs w:val="22"/>
              </w:rPr>
              <w:t xml:space="preserve">75</w:t>
            </w: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2. Va sur securityheaders.com, entre l'URL du site : tu dois obtenir un </w:t>
            </w:r>
            <w:r>
              <w:rPr>
                <w:rFonts w:ascii="Calibri" w:cs="Calibri" w:eastAsia="Calibri" w:hAnsi="Calibri"/>
                <w:b/>
                <w:bCs/>
                <w:color w:val="1a2620"/>
                <w:sz w:val="22"/>
                <w:szCs w:val="22"/>
              </w:rPr>
              <w:t xml:space="preserve">A ou A+</w:t>
            </w: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 (confirme que le fichier _headers est bien servi).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3. Navigue partout (F12 ouvert) : </w:t>
            </w:r>
            <w:r>
              <w:rPr>
                <w:rFonts w:ascii="Calibri" w:cs="Calibri" w:eastAsia="Calibri" w:hAnsi="Calibri"/>
                <w:b/>
                <w:bCs/>
                <w:color w:val="1a2620"/>
                <w:sz w:val="22"/>
                <w:szCs w:val="22"/>
              </w:rPr>
              <w:t xml:space="preserve">aucune erreur rouge</w:t>
            </w: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 « Refused to connect ». Si une apparaît, une ressource est bloquée par la CSP — à ajuster.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c1f17"/>
          <w:sz w:val="32"/>
          <w:szCs w:val="32"/>
        </w:rPr>
        <w:t xml:space="preserve">Partie 4 — Réglages avant la saison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Aligne les budgets existants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 : le budget 1 Md ne s'applique qu'aux nouveaux inscrits. Pour les comptes déjà créés : </w:t>
      </w:r>
      <w:r>
        <w:rPr>
          <w:rFonts w:ascii="Consolas" w:cs="Consolas" w:eastAsia="Consolas" w:hAnsi="Consolas"/>
          <w:color w:val="0b3d2e"/>
          <w:sz w:val="18"/>
          <w:szCs w:val="18"/>
        </w:rPr>
        <w:t xml:space="preserve">update qm_managers set budget=1000000000 where budget=700000000;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Nettoie les comptes admin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 : vérifie que seuls les vrais admins ont is_admin=true. </w:t>
      </w:r>
      <w:r>
        <w:rPr>
          <w:rFonts w:ascii="Consolas" w:cs="Consolas" w:eastAsia="Consolas" w:hAnsi="Consolas"/>
          <w:color w:val="0b3d2e"/>
          <w:sz w:val="18"/>
          <w:szCs w:val="18"/>
        </w:rPr>
        <w:t xml:space="preserve">select display_name,is_admin from qm_managers order by is_admin desc;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Catalogue &amp; valeurs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 : ajoute les joueurs, saisis les valeurs (Transfermarkt), règle les critères de note, applique les prix.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Vérifie les paramètres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 dans le panneau admin (budgets, plafonds, taxes, bonus).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c1f17"/>
          <w:sz w:val="32"/>
          <w:szCs w:val="32"/>
        </w:rPr>
        <w:t xml:space="preserve">Partie 5 — La partie test (indispensable)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2620"/>
          <w:sz w:val="22"/>
          <w:szCs w:val="22"/>
        </w:rPr>
        <w:t xml:space="preserve">Ne lance pas la vraie saison sans ce test.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 Crée 2-3 comptes NON-admin et joue un cycle complet. Coche chaque scénario vérifié :</w:t>
      </w:r>
    </w:p>
    <w:p>
      <w:pPr>
        <w:spacing w:after="70"/>
      </w:pPr>
      <w:r>
        <w:rPr>
          <w:rFonts w:ascii="Calibri" w:cs="Calibri" w:eastAsia="Calibri" w:hAnsi="Calibri"/>
          <w:color w:val="2e7d46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Inscription d'un compte manager non-admin</w:t>
      </w:r>
    </w:p>
    <w:p>
      <w:pPr>
        <w:spacing w:after="70"/>
      </w:pPr>
      <w:r>
        <w:rPr>
          <w:rFonts w:ascii="Calibri" w:cs="Calibri" w:eastAsia="Calibri" w:hAnsi="Calibri"/>
          <w:color w:val="2e7d46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Ouvrir une enchère (admin) et enchérir (manager)</w:t>
      </w:r>
    </w:p>
    <w:p>
      <w:pPr>
        <w:spacing w:after="70"/>
      </w:pPr>
      <w:r>
        <w:rPr>
          <w:rFonts w:ascii="Calibri" w:cs="Calibri" w:eastAsia="Calibri" w:hAnsi="Calibri"/>
          <w:color w:val="2e7d46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Vérifier le budget bloqué quand on mène</w:t>
      </w:r>
    </w:p>
    <w:p>
      <w:pPr>
        <w:spacing w:after="70"/>
      </w:pPr>
      <w:r>
        <w:rPr>
          <w:rFonts w:ascii="Calibri" w:cs="Calibri" w:eastAsia="Calibri" w:hAnsi="Calibri"/>
          <w:color w:val="2e7d46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Se faire dépasser → la cloche 🔔 affiche « tu as été dépassé »</w:t>
      </w:r>
    </w:p>
    <w:p>
      <w:pPr>
        <w:spacing w:after="70"/>
      </w:pPr>
      <w:r>
        <w:rPr>
          <w:rFonts w:ascii="Calibri" w:cs="Calibri" w:eastAsia="Calibri" w:hAnsi="Calibri"/>
          <w:color w:val="2e7d46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Taxe d'entrée prélevée sur un joueur non déniché</w:t>
      </w:r>
    </w:p>
    <w:p>
      <w:pPr>
        <w:spacing w:after="70"/>
      </w:pPr>
      <w:r>
        <w:rPr>
          <w:rFonts w:ascii="Calibri" w:cs="Calibri" w:eastAsia="Calibri" w:hAnsi="Calibri"/>
          <w:color w:val="2e7d46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Cooldown 2h : deux offres d'affilée → 2e refusée</w:t>
      </w:r>
    </w:p>
    <w:p>
      <w:pPr>
        <w:spacing w:after="70"/>
      </w:pPr>
      <w:r>
        <w:rPr>
          <w:rFonts w:ascii="Calibri" w:cs="Calibri" w:eastAsia="Calibri" w:hAnsi="Calibri"/>
          <w:color w:val="2e7d46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Gagner un joueur seul → bonus coup de poker (+10M)</w:t>
      </w:r>
    </w:p>
    <w:p>
      <w:pPr>
        <w:spacing w:after="70"/>
      </w:pPr>
      <w:r>
        <w:rPr>
          <w:rFonts w:ascii="Calibri" w:cs="Calibri" w:eastAsia="Calibri" w:hAnsi="Calibri"/>
          <w:color w:val="2e7d46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Acheter ATT+MIL+DEF le même jour → bonus journée complète</w:t>
      </w:r>
    </w:p>
    <w:p>
      <w:pPr>
        <w:spacing w:after="70"/>
      </w:pPr>
      <w:r>
        <w:rPr>
          <w:rFonts w:ascii="Calibri" w:cs="Calibri" w:eastAsia="Calibri" w:hAnsi="Calibri"/>
          <w:color w:val="2e7d46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Plafond salarial : achat refusé au-delà de 120M</w:t>
      </w:r>
    </w:p>
    <w:p>
      <w:pPr>
        <w:spacing w:after="70"/>
      </w:pPr>
      <w:r>
        <w:rPr>
          <w:rFonts w:ascii="Calibri" w:cs="Calibri" w:eastAsia="Calibri" w:hAnsi="Calibri"/>
          <w:color w:val="2e7d46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Quota compartiment : 6e attaquant refusé</w:t>
      </w:r>
    </w:p>
    <w:p>
      <w:pPr>
        <w:spacing w:after="70"/>
      </w:pPr>
      <w:r>
        <w:rPr>
          <w:rFonts w:ascii="Calibri" w:cs="Calibri" w:eastAsia="Calibri" w:hAnsi="Calibri"/>
          <w:color w:val="2e7d46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Proposer un échange → l'autre reçoit la notif et accepte</w:t>
      </w:r>
    </w:p>
    <w:p>
      <w:pPr>
        <w:spacing w:after="70"/>
      </w:pPr>
      <w:r>
        <w:rPr>
          <w:rFonts w:ascii="Calibri" w:cs="Calibri" w:eastAsia="Calibri" w:hAnsi="Calibri"/>
          <w:color w:val="2e7d46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Libérer un joueur après 24h → pénalité + retour au marché</w:t>
      </w:r>
    </w:p>
    <w:p>
      <w:pPr>
        <w:spacing w:after="70"/>
      </w:pPr>
      <w:r>
        <w:rPr>
          <w:rFonts w:ascii="Calibri" w:cs="Calibri" w:eastAsia="Calibri" w:hAnsi="Calibri"/>
          <w:color w:val="2e7d46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Convertir du budget en points (onglet Bonus)</w:t>
      </w:r>
    </w:p>
    <w:p>
      <w:pPr>
        <w:spacing w:after="70"/>
      </w:pPr>
      <w:r>
        <w:rPr>
          <w:rFonts w:ascii="Calibri" w:cs="Calibri" w:eastAsia="Calibri" w:hAnsi="Calibri"/>
          <w:color w:val="2e7d46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Fil d'actu : les mouvements apparaissent</w:t>
      </w:r>
    </w:p>
    <w:p>
      <w:pPr>
        <w:spacing w:after="70"/>
      </w:pPr>
      <w:r>
        <w:rPr>
          <w:rFonts w:ascii="Calibri" w:cs="Calibri" w:eastAsia="Calibri" w:hAnsi="Calibri"/>
          <w:color w:val="2e7d46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2620"/>
          <w:sz w:val="22"/>
          <w:szCs w:val="22"/>
        </w:rPr>
        <w:t xml:space="preserve">Comparateur : 3 joueurs côte à côte</w:t>
      </w:r>
    </w:p>
    <w:tbl>
      <w:tblPr>
        <w:tblW w:type="pct" w:w="100%"/>
        <w:tblBorders>
          <w:top w:val="single" w:color="2e7d46" w:sz="4"/>
          <w:left w:val="single" w:color="2e7d46" w:sz="24"/>
          <w:bottom w:val="single" w:color="2e7d46" w:sz="4"/>
          <w:right w:val="single" w:color="2e7d46" w:sz="4"/>
          <w:insideH w:val="none"/>
          <w:insideV w:val="none"/>
        </w:tblBorders>
      </w:tblPr>
      <w:tblGrid>
        <w:gridCol w:w="100"/>
      </w:tblGrid>
      <w:tr>
        <w:tc>
          <w:tcPr>
            <w:shd w:fill="e9f3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2e7d46"/>
                <w:sz w:val="18"/>
                <w:szCs w:val="18"/>
              </w:rPr>
              <w:t xml:space="preserve">Le mot de la fin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2620"/>
                <w:sz w:val="22"/>
                <w:szCs w:val="22"/>
              </w:rPr>
              <w:t xml:space="preserve">Si un scénario échoue, note-le et corrige avant d'ouvrir aux 20 managers. Un bug trouvé en test coûte une minute ; le même bug en pleine saison coûte la confiance des joueurs. Prends le temps de ce test — c'est le dernier rempart avant le lancement.</w:t>
            </w:r>
          </w:p>
        </w:tc>
      </w:tr>
    </w:tbl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6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Calibri" w:cs="Calibri" w:eastAsia="Calibri" w:hAnsi="Calibri"/>
      <w:b/>
      <w:bCs/>
      <w:color w:val="0c1f17"/>
      <w:sz w:val="32"/>
      <w:szCs w:val="32"/>
    </w:rPr>
  </w:style>
  <w:style w:type="paragraph" w:styleId="Heading2">
    <w:name w:val="Heading 2"/>
    <w:basedOn w:val="Normal"/>
    <w:next w:val="Normal"/>
    <w:rPr>
      <w:rFonts w:ascii="Calibri" w:cs="Calibri" w:eastAsia="Calibri" w:hAnsi="Calibri"/>
      <w:b/>
      <w:bCs/>
      <w:color w:val="e0a80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de déploiement — Ultimate Squad</dc:title>
  <dc:creator>Ultimate Squad</dc:creator>
  <cp:lastModifiedBy>Un-named</cp:lastModifiedBy>
  <cp:revision>1</cp:revision>
  <dcterms:created xsi:type="dcterms:W3CDTF">2026-08-13T09:45:36.002Z</dcterms:created>
  <dcterms:modified xsi:type="dcterms:W3CDTF">2026-08-13T09:45:36.002Z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