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7F2792">
        <w:rPr>
          <w:rFonts w:ascii="Times New Roman" w:hAnsi="Times New Roman"/>
        </w:rPr>
        <w:t>its</w:t>
      </w:r>
      <w:r w:rsidR="004F2DC9">
        <w:rPr>
          <w:rFonts w:ascii="Times New Roman" w:hAnsi="Times New Roman"/>
        </w:rPr>
        <w:t xml:space="preserve"> first direct measurement. </w:t>
      </w:r>
      <w:r w:rsidR="007F2792">
        <w:rPr>
          <w:rFonts w:ascii="Times New Roman" w:hAnsi="Times New Roman"/>
        </w:rPr>
        <w:t>To date, a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w:t>
      </w:r>
      <w:bookmarkStart w:id="0" w:name="_GoBack"/>
      <w:bookmarkEnd w:id="0"/>
      <w:r w:rsidR="00750E97">
        <w:rPr>
          <w:rFonts w:ascii="Times New Roman" w:hAnsi="Times New Roman"/>
          <w:highlight w:val="yellow"/>
        </w:rPr>
        <w:t>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consistent with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266F0C">
        <w:rPr>
          <w:rFonts w:ascii="Times New Roman" w:hAnsi="Times New Roman"/>
        </w:rPr>
        <w:t xml:space="preserve"> we observe a </w:t>
      </w:r>
      <w:r w:rsidR="00742EEA">
        <w:rPr>
          <w:rFonts w:ascii="Times New Roman" w:hAnsi="Times New Roman"/>
        </w:rPr>
        <w:t>starl</w:t>
      </w:r>
      <w:r w:rsidR="00266F0C">
        <w:rPr>
          <w:rFonts w:ascii="Times New Roman" w:hAnsi="Times New Roman"/>
        </w:rPr>
        <w:t xml:space="preserve"> reversal at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w:t>
      </w:r>
      <w:r>
        <w:rPr>
          <w:rFonts w:ascii="Times New Roman" w:hAnsi="Times New Roman"/>
        </w:rPr>
        <w:lastRenderedPageBreak/>
        <w:t xml:space="preserve">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2C7C18" w:rsidRPr="002C7C18" w:rsidRDefault="00750E97"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750E97"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 xml:space="preserve">anisotropic excitons </w:t>
      </w:r>
      <w:r>
        <w:rPr>
          <w:rFonts w:ascii="Times New Roman" w:hAnsi="Times New Roman"/>
        </w:rPr>
        <w:t>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rPr>
          <w:rFonts w:ascii="Times New Roman" w:hAnsi="Times New Roman"/>
        </w:rPr>
      </w:pPr>
    </w:p>
    <w:p w:rsidR="008B3DFA" w:rsidRDefault="00625B32" w:rsidP="00BD45EB">
      <w:pPr>
        <w:rPr>
          <w:rFonts w:ascii="Times New Roman" w:hAnsi="Times New Roman"/>
        </w:rPr>
      </w:pPr>
      <w:r>
        <w:rPr>
          <w:rFonts w:ascii="Times New Roman" w:hAnsi="Times New Roman"/>
        </w:rPr>
        <w:t>--------------------------------</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963" w:rsidRDefault="00FB2963" w:rsidP="00BB11A9">
      <w:pPr>
        <w:spacing w:after="0"/>
      </w:pPr>
      <w:r>
        <w:separator/>
      </w:r>
    </w:p>
  </w:endnote>
  <w:endnote w:type="continuationSeparator" w:id="0">
    <w:p w:rsidR="00FB2963" w:rsidRDefault="00FB2963"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963" w:rsidRDefault="00FB2963" w:rsidP="00BB11A9">
      <w:pPr>
        <w:spacing w:after="0"/>
      </w:pPr>
      <w:r>
        <w:separator/>
      </w:r>
    </w:p>
  </w:footnote>
  <w:footnote w:type="continuationSeparator" w:id="0">
    <w:p w:rsidR="00FB2963" w:rsidRDefault="00FB2963"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10A8B"/>
    <w:rsid w:val="00B15DCA"/>
    <w:rsid w:val="00B16EEA"/>
    <w:rsid w:val="00B206AC"/>
    <w:rsid w:val="00B3300F"/>
    <w:rsid w:val="00B371FF"/>
    <w:rsid w:val="00B42251"/>
    <w:rsid w:val="00B506EE"/>
    <w:rsid w:val="00B50F3B"/>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0054"/>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24025</TotalTime>
  <Pages>10</Pages>
  <Words>23136</Words>
  <Characters>131877</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164</cp:revision>
  <dcterms:created xsi:type="dcterms:W3CDTF">2024-07-08T10:37:00Z</dcterms:created>
  <dcterms:modified xsi:type="dcterms:W3CDTF">2024-09-11T15:37:00Z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