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简体" w:hAnsi="宋体" w:eastAsia="方正小标宋简体" w:cs="Times New Roman"/>
          <w:sz w:val="36"/>
          <w:szCs w:val="36"/>
        </w:rPr>
      </w:pPr>
      <w:r>
        <w:rPr>
          <w:rFonts w:hint="eastAsia" w:ascii="方正小标宋简体" w:hAnsi="宋体" w:eastAsia="方正小标宋简体" w:cs="方正小标宋简体"/>
          <w:sz w:val="36"/>
          <w:szCs w:val="36"/>
        </w:rPr>
        <w:t>诉讼材料清单指引（行政一审）</w:t>
      </w:r>
    </w:p>
    <w:p>
      <w:pPr>
        <w:rPr>
          <w:rFonts w:ascii="方正小标宋简体" w:hAnsi="宋体" w:eastAsia="方正小标宋简体" w:cs="Times New Roman"/>
          <w:sz w:val="36"/>
          <w:szCs w:val="36"/>
        </w:rPr>
      </w:pP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尊敬的当事人，您好！</w:t>
      </w:r>
    </w:p>
    <w:p>
      <w:pPr>
        <w:rPr>
          <w:rFonts w:hint="eastAsia" w:ascii="方正仿宋_GBK" w:hAnsi="仿宋" w:eastAsia="方正仿宋_GBK" w:cs="Times New Roman"/>
          <w:b/>
          <w:color w:val="FF0000"/>
          <w:sz w:val="36"/>
          <w:szCs w:val="36"/>
          <w:lang w:eastAsia="zh-CN"/>
        </w:rPr>
      </w:pPr>
      <w:r>
        <w:rPr>
          <w:rFonts w:hint="eastAsia" w:ascii="方正仿宋_GBK" w:hAnsi="仿宋" w:eastAsia="方正仿宋_GBK" w:cs="Times New Roman"/>
          <w:b/>
          <w:color w:val="FF0000"/>
          <w:sz w:val="36"/>
          <w:szCs w:val="36"/>
        </w:rPr>
        <w:t>您的行政一审案件可在人民法院在线服务平台申请网上立案，也可选择现场或邮寄立案提交</w:t>
      </w:r>
      <w:r>
        <w:rPr>
          <w:rFonts w:hint="eastAsia" w:ascii="方正仿宋_GBK" w:hAnsi="仿宋" w:eastAsia="方正仿宋_GBK" w:cs="Times New Roman"/>
          <w:b/>
          <w:color w:val="FF0000"/>
          <w:sz w:val="36"/>
          <w:szCs w:val="36"/>
          <w:lang w:eastAsia="zh-CN"/>
        </w:rPr>
        <w:t>，</w:t>
      </w:r>
      <w:r>
        <w:rPr>
          <w:rFonts w:hint="eastAsia" w:ascii="方正仿宋_GBK" w:hAnsi="仿宋" w:eastAsia="方正仿宋_GBK" w:cs="Times New Roman"/>
          <w:b/>
          <w:color w:val="FF0000"/>
          <w:sz w:val="36"/>
          <w:szCs w:val="36"/>
        </w:rPr>
        <w:t>提交一份材料即可</w:t>
      </w:r>
      <w:r>
        <w:rPr>
          <w:rFonts w:hint="eastAsia" w:ascii="方正仿宋_GBK" w:hAnsi="仿宋" w:eastAsia="方正仿宋_GBK" w:cs="Times New Roman"/>
          <w:b/>
          <w:color w:val="FF0000"/>
          <w:sz w:val="36"/>
          <w:szCs w:val="36"/>
          <w:lang w:eastAsia="zh-CN"/>
        </w:rPr>
        <w:t>。</w:t>
      </w:r>
    </w:p>
    <w:p>
      <w:pPr>
        <w:rPr>
          <w:rFonts w:ascii="方正仿宋_GBK" w:hAnsi="仿宋" w:eastAsia="方正仿宋_GBK" w:cs="方正仿宋_GBK"/>
          <w:sz w:val="30"/>
          <w:szCs w:val="30"/>
        </w:rPr>
      </w:pPr>
      <w:r>
        <w:rPr>
          <w:rFonts w:hint="eastAsia" w:ascii="方正仿宋_GBK" w:hAnsi="仿宋" w:eastAsia="方正仿宋_GBK" w:cs="方正仿宋_GBK"/>
          <w:sz w:val="30"/>
          <w:szCs w:val="30"/>
        </w:rPr>
        <w:t>请您在起诉时准备好以下材料：</w:t>
      </w:r>
    </w:p>
    <w:p>
      <w:pPr>
        <w:rPr>
          <w:rFonts w:ascii="方正仿宋_GBK" w:hAnsi="仿宋" w:eastAsia="方正仿宋_GBK" w:cs="Times New Roman"/>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 xml:space="preserve"> 1.</w:t>
      </w:r>
      <w:r>
        <w:rPr>
          <w:rFonts w:hint="eastAsia" w:ascii="方正仿宋_GBK" w:hAnsi="仿宋" w:eastAsia="方正仿宋_GBK" w:cs="方正仿宋_GBK"/>
          <w:b/>
          <w:bCs/>
          <w:sz w:val="30"/>
          <w:szCs w:val="30"/>
        </w:rPr>
        <w:t>行政起诉状原件</w:t>
      </w:r>
    </w:p>
    <w:p>
      <w:pPr>
        <w:rPr>
          <w:rFonts w:ascii="方正仿宋_GBK" w:hAnsi="仿宋" w:eastAsia="方正仿宋_GBK" w:cs="Times New Roman"/>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 xml:space="preserve"> 2.</w:t>
      </w:r>
      <w:r>
        <w:rPr>
          <w:rFonts w:hint="eastAsia" w:ascii="方正仿宋_GBK" w:hAnsi="仿宋" w:eastAsia="方正仿宋_GBK" w:cs="方正仿宋_GBK"/>
          <w:b/>
          <w:bCs/>
          <w:sz w:val="30"/>
          <w:szCs w:val="30"/>
        </w:rPr>
        <w:t>当事人主体资格证明材料</w:t>
      </w:r>
    </w:p>
    <w:p>
      <w:pPr>
        <w:rPr>
          <w:rFonts w:ascii="方正仿宋_GBK" w:hAnsi="仿宋" w:eastAsia="方正仿宋_GBK" w:cs="Times New Roman"/>
          <w:sz w:val="30"/>
          <w:szCs w:val="30"/>
        </w:rPr>
      </w:pPr>
      <w:r>
        <w:rPr>
          <w:rFonts w:ascii="方正仿宋_GBK" w:hAnsi="仿宋" w:eastAsia="方正仿宋_GBK" w:cs="方正仿宋_GBK"/>
          <w:sz w:val="30"/>
          <w:szCs w:val="30"/>
        </w:rPr>
        <w:t>A</w:t>
      </w:r>
      <w:r>
        <w:rPr>
          <w:rFonts w:hint="eastAsia" w:ascii="方正仿宋_GBK" w:hAnsi="仿宋" w:eastAsia="方正仿宋_GBK" w:cs="方正仿宋_GBK"/>
          <w:sz w:val="30"/>
          <w:szCs w:val="30"/>
        </w:rPr>
        <w:t>、当事人是自然人的：</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□居民身份证、深圳市居住证、户口簿、护照或港澳同胞回乡证等有效证件复印件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□经常居住地证明：由居委会或公安局派出所出具的居住证明，证明当事人从某年某月某日至今一直居住在本院辖区，已居住满一年</w:t>
      </w:r>
    </w:p>
    <w:p>
      <w:pPr>
        <w:rPr>
          <w:rFonts w:ascii="方正仿宋_GBK" w:hAnsi="仿宋" w:eastAsia="方正仿宋_GBK" w:cs="Times New Roman"/>
          <w:sz w:val="30"/>
          <w:szCs w:val="30"/>
        </w:rPr>
      </w:pPr>
      <w:r>
        <w:rPr>
          <w:rFonts w:ascii="方正仿宋_GBK" w:hAnsi="仿宋" w:eastAsia="方正仿宋_GBK" w:cs="方正仿宋_GBK"/>
          <w:sz w:val="30"/>
          <w:szCs w:val="30"/>
        </w:rPr>
        <w:t>B</w:t>
      </w:r>
      <w:r>
        <w:rPr>
          <w:rFonts w:hint="eastAsia" w:ascii="方正仿宋_GBK" w:hAnsi="仿宋" w:eastAsia="方正仿宋_GBK" w:cs="方正仿宋_GBK"/>
          <w:sz w:val="30"/>
          <w:szCs w:val="30"/>
        </w:rPr>
        <w:t>、当事人是法人或其他组织的：</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□①法定代表人（负责人）身份证明书原件，法定代表人（负责人）身份证复印件</w:t>
      </w:r>
    </w:p>
    <w:p>
      <w:pPr>
        <w:shd w:val="clear" w:color="auto" w:fill="FFFFFF"/>
        <w:wordWrap w:val="0"/>
        <w:spacing w:line="210" w:lineRule="atLeast"/>
        <w:rPr>
          <w:rFonts w:ascii="微软雅黑" w:hAnsi="微软雅黑" w:eastAsia="微软雅黑"/>
          <w:sz w:val="21"/>
          <w:szCs w:val="21"/>
        </w:rPr>
      </w:pPr>
      <w:r>
        <w:rPr>
          <w:rFonts w:hint="eastAsia" w:ascii="方正仿宋_GBK" w:hAnsi="仿宋" w:eastAsia="方正仿宋_GBK" w:cs="方正仿宋_GBK"/>
          <w:sz w:val="30"/>
          <w:szCs w:val="30"/>
        </w:rPr>
        <w:t>□②营业执照复印件或工商注册登记查询证明</w:t>
      </w:r>
    </w:p>
    <w:p>
      <w:pPr>
        <w:rPr>
          <w:rFonts w:hint="eastAsia" w:ascii="方正仿宋_GBK" w:hAnsi="仿宋" w:eastAsia="方正仿宋_GBK" w:cs="方正仿宋_GBK"/>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当事人为</w:t>
      </w:r>
      <w:r>
        <w:rPr>
          <w:rFonts w:hint="eastAsia" w:ascii="方正仿宋_GBK" w:hAnsi="仿宋" w:eastAsia="方正仿宋_GBK" w:cs="方正仿宋_GBK"/>
          <w:b/>
          <w:bCs/>
          <w:color w:val="FF0000"/>
          <w:sz w:val="30"/>
          <w:szCs w:val="30"/>
        </w:rPr>
        <w:t>涉外、涉港澳台</w:t>
      </w:r>
      <w:r>
        <w:rPr>
          <w:rFonts w:hint="eastAsia" w:ascii="方正仿宋_GBK" w:hAnsi="仿宋" w:eastAsia="方正仿宋_GBK" w:cs="方正仿宋_GBK"/>
          <w:sz w:val="30"/>
          <w:szCs w:val="30"/>
        </w:rPr>
        <w:t>主体时，须提交经公证部门公证、认证的主体材料</w:t>
      </w:r>
    </w:p>
    <w:p>
      <w:pPr>
        <w:rPr>
          <w:rFonts w:hint="eastAsia" w:ascii="方正仿宋_GBK" w:hAnsi="仿宋" w:eastAsia="方正仿宋_GBK" w:cs="方正仿宋_GBK"/>
          <w:sz w:val="30"/>
          <w:szCs w:val="30"/>
        </w:rPr>
      </w:pPr>
    </w:p>
    <w:p>
      <w:pPr>
        <w:rPr>
          <w:rFonts w:ascii="方正仿宋_GBK" w:hAnsi="仿宋" w:eastAsia="方正仿宋_GBK" w:cs="Times New Roman"/>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3.</w:t>
      </w:r>
      <w:r>
        <w:rPr>
          <w:rFonts w:hint="eastAsia" w:ascii="方正仿宋_GBK" w:hAnsi="仿宋" w:eastAsia="方正仿宋_GBK" w:cs="方正仿宋_GBK"/>
          <w:b/>
          <w:bCs/>
          <w:color w:val="FF0000"/>
          <w:sz w:val="30"/>
          <w:szCs w:val="30"/>
        </w:rPr>
        <w:t>（非必选项）</w:t>
      </w:r>
      <w:r>
        <w:rPr>
          <w:rFonts w:hint="eastAsia" w:ascii="方正仿宋_GBK" w:hAnsi="仿宋" w:eastAsia="方正仿宋_GBK" w:cs="方正仿宋_GBK"/>
          <w:b/>
          <w:bCs/>
          <w:sz w:val="30"/>
          <w:szCs w:val="30"/>
        </w:rPr>
        <w:t>当事人的委托代理材料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1</w:t>
      </w:r>
      <w:r>
        <w:rPr>
          <w:rFonts w:hint="eastAsia" w:ascii="方正仿宋_GBK" w:hAnsi="仿宋" w:eastAsia="方正仿宋_GBK" w:cs="方正仿宋_GBK"/>
          <w:sz w:val="30"/>
          <w:szCs w:val="30"/>
        </w:rPr>
        <w:t>）授权委托书原件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□授权委托书，请注明一般授权或特别授权及相应权限。</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 xml:space="preserve"> *</w:t>
      </w:r>
      <w:r>
        <w:rPr>
          <w:rFonts w:hint="eastAsia" w:ascii="方正仿宋_GBK" w:hAnsi="仿宋" w:eastAsia="方正仿宋_GBK" w:cs="方正仿宋_GBK"/>
          <w:sz w:val="30"/>
          <w:szCs w:val="30"/>
        </w:rPr>
        <w:t>原告为涉外、涉港澳台主体时，须提交经公证部门公证、认证的授权委托书，或在本院工作人员前签署的授权委托书。</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w:t>
      </w:r>
      <w:r>
        <w:rPr>
          <w:rFonts w:ascii="方正仿宋_GBK" w:hAnsi="仿宋" w:eastAsia="方正仿宋_GBK" w:cs="方正仿宋_GBK"/>
          <w:sz w:val="30"/>
          <w:szCs w:val="30"/>
        </w:rPr>
        <w:t>2</w:t>
      </w:r>
      <w:r>
        <w:rPr>
          <w:rFonts w:hint="eastAsia" w:ascii="方正仿宋_GBK" w:hAnsi="仿宋" w:eastAsia="方正仿宋_GBK" w:cs="方正仿宋_GBK"/>
          <w:sz w:val="30"/>
          <w:szCs w:val="30"/>
        </w:rPr>
        <w:t>）代理人资格证明材料</w:t>
      </w:r>
    </w:p>
    <w:p>
      <w:pPr>
        <w:rPr>
          <w:rFonts w:ascii="方正仿宋_GBK" w:hAnsi="仿宋" w:eastAsia="方正仿宋_GBK" w:cs="Times New Roman"/>
          <w:sz w:val="30"/>
          <w:szCs w:val="30"/>
        </w:rPr>
      </w:pPr>
      <w:r>
        <w:rPr>
          <w:rFonts w:ascii="方正仿宋_GBK" w:hAnsi="仿宋" w:eastAsia="方正仿宋_GBK" w:cs="方正仿宋_GBK"/>
          <w:sz w:val="30"/>
          <w:szCs w:val="30"/>
        </w:rPr>
        <w:t>A</w:t>
      </w:r>
      <w:r>
        <w:rPr>
          <w:rFonts w:hint="eastAsia" w:ascii="方正仿宋_GBK" w:hAnsi="仿宋" w:eastAsia="方正仿宋_GBK" w:cs="方正仿宋_GBK"/>
          <w:sz w:val="30"/>
          <w:szCs w:val="30"/>
        </w:rPr>
        <w:t>、律师代理的，应提交以下材料：</w:t>
      </w:r>
    </w:p>
    <w:p>
      <w:pPr>
        <w:rPr>
          <w:rFonts w:ascii="方正仿宋_GBK" w:hAnsi="仿宋" w:eastAsia="方正仿宋_GBK" w:cs="Times New Roman"/>
          <w:color w:val="FF0000"/>
          <w:sz w:val="30"/>
          <w:szCs w:val="30"/>
        </w:rPr>
      </w:pPr>
      <w:r>
        <w:rPr>
          <w:rFonts w:hint="eastAsia" w:ascii="方正仿宋_GBK" w:hAnsi="仿宋" w:eastAsia="方正仿宋_GBK" w:cs="方正仿宋_GBK"/>
          <w:sz w:val="30"/>
          <w:szCs w:val="30"/>
        </w:rPr>
        <w:t>□①律师事务所所函原件</w:t>
      </w:r>
      <w:r>
        <w:rPr>
          <w:rFonts w:hint="eastAsia" w:ascii="方正仿宋_GBK" w:hAnsi="仿宋" w:eastAsia="方正仿宋_GBK" w:cs="方正仿宋_GBK"/>
          <w:color w:val="FF0000"/>
          <w:sz w:val="30"/>
          <w:szCs w:val="30"/>
        </w:rPr>
        <w:t>（载明当事人名称、案由，不得以介绍信代替）</w:t>
      </w:r>
    </w:p>
    <w:p>
      <w:pPr>
        <w:rPr>
          <w:rFonts w:ascii="方正仿宋_GBK" w:hAnsi="仿宋" w:eastAsia="方正仿宋_GBK" w:cs="Times New Roman"/>
          <w:color w:val="FF0000"/>
          <w:sz w:val="30"/>
          <w:szCs w:val="30"/>
        </w:rPr>
      </w:pPr>
      <w:r>
        <w:rPr>
          <w:rFonts w:hint="eastAsia" w:ascii="方正仿宋_GBK" w:hAnsi="仿宋" w:eastAsia="方正仿宋_GBK" w:cs="方正仿宋_GBK"/>
          <w:sz w:val="30"/>
          <w:szCs w:val="30"/>
        </w:rPr>
        <w:t>□②律师执业证复印件</w:t>
      </w:r>
      <w:r>
        <w:rPr>
          <w:rFonts w:hint="eastAsia" w:ascii="方正仿宋_GBK" w:hAnsi="仿宋" w:eastAsia="方正仿宋_GBK" w:cs="方正仿宋_GBK"/>
          <w:color w:val="FF0000"/>
          <w:sz w:val="30"/>
          <w:szCs w:val="30"/>
        </w:rPr>
        <w:t>（验原件，律师证或者实习律师证过期、换证等期间无法立案）</w:t>
      </w:r>
    </w:p>
    <w:p>
      <w:pPr>
        <w:rPr>
          <w:rFonts w:ascii="方正仿宋_GBK" w:hAnsi="仿宋" w:eastAsia="方正仿宋_GBK" w:cs="Times New Roman"/>
          <w:sz w:val="30"/>
          <w:szCs w:val="30"/>
        </w:rPr>
      </w:pPr>
      <w:r>
        <w:rPr>
          <w:rFonts w:ascii="方正仿宋_GBK" w:hAnsi="仿宋" w:eastAsia="方正仿宋_GBK" w:cs="方正仿宋_GBK"/>
          <w:sz w:val="30"/>
          <w:szCs w:val="30"/>
        </w:rPr>
        <w:t>B</w:t>
      </w:r>
      <w:r>
        <w:rPr>
          <w:rFonts w:hint="eastAsia" w:ascii="方正仿宋_GBK" w:hAnsi="仿宋" w:eastAsia="方正仿宋_GBK" w:cs="方正仿宋_GBK"/>
          <w:sz w:val="30"/>
          <w:szCs w:val="30"/>
        </w:rPr>
        <w:t>、基层法律服务工作者代理的须符合</w:t>
      </w:r>
      <w:r>
        <w:rPr>
          <w:rFonts w:hint="eastAsia" w:ascii="方正仿宋_GBK" w:hAnsi="仿宋" w:eastAsia="方正仿宋_GBK" w:cs="方正仿宋_GBK"/>
          <w:color w:val="FF0000"/>
          <w:sz w:val="30"/>
          <w:szCs w:val="30"/>
        </w:rPr>
        <w:t>《基层法律服务工作者管理办法》第二十七条</w:t>
      </w:r>
      <w:r>
        <w:rPr>
          <w:rFonts w:hint="eastAsia" w:ascii="方正仿宋_GBK" w:hAnsi="仿宋" w:eastAsia="方正仿宋_GBK" w:cs="方正仿宋_GBK"/>
          <w:sz w:val="30"/>
          <w:szCs w:val="30"/>
        </w:rPr>
        <w:t>之规定，同时应提交以下材料：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□①基层法律服务所出具的介绍信原件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□②法律服务工作者执业证复印件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□③当事人的委托书</w:t>
      </w:r>
    </w:p>
    <w:p>
      <w:pPr>
        <w:rPr>
          <w:rFonts w:ascii="方正仿宋_GBK" w:hAnsi="仿宋" w:eastAsia="方正仿宋_GBK" w:cs="Times New Roman"/>
          <w:sz w:val="30"/>
          <w:szCs w:val="30"/>
        </w:rPr>
      </w:pPr>
      <w:r>
        <w:rPr>
          <w:rFonts w:ascii="方正仿宋_GBK" w:hAnsi="仿宋" w:eastAsia="方正仿宋_GBK" w:cs="方正仿宋_GBK"/>
          <w:sz w:val="30"/>
          <w:szCs w:val="30"/>
        </w:rPr>
        <w:t>C</w:t>
      </w:r>
      <w:r>
        <w:rPr>
          <w:rFonts w:hint="eastAsia" w:ascii="方正仿宋_GBK" w:hAnsi="仿宋" w:eastAsia="方正仿宋_GBK" w:cs="方正仿宋_GBK"/>
          <w:sz w:val="30"/>
          <w:szCs w:val="30"/>
        </w:rPr>
        <w:t>、近亲属或监护人代理的，应提交以下材料：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□①户口簿复印件，或有关部门出具的亲属关系证明原件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□②代理人身份证复印件</w:t>
      </w:r>
    </w:p>
    <w:p>
      <w:pPr>
        <w:rPr>
          <w:rFonts w:ascii="方正仿宋_GBK" w:hAnsi="仿宋" w:eastAsia="方正仿宋_GBK" w:cs="Times New Roman"/>
          <w:sz w:val="30"/>
          <w:szCs w:val="30"/>
        </w:rPr>
      </w:pPr>
      <w:r>
        <w:rPr>
          <w:rFonts w:ascii="方正仿宋_GBK" w:hAnsi="仿宋" w:eastAsia="方正仿宋_GBK" w:cs="方正仿宋_GBK"/>
          <w:sz w:val="30"/>
          <w:szCs w:val="30"/>
        </w:rPr>
        <w:t>D</w:t>
      </w:r>
      <w:r>
        <w:rPr>
          <w:rFonts w:hint="eastAsia" w:ascii="方正仿宋_GBK" w:hAnsi="仿宋" w:eastAsia="方正仿宋_GBK" w:cs="方正仿宋_GBK"/>
          <w:sz w:val="30"/>
          <w:szCs w:val="30"/>
        </w:rPr>
        <w:t>、员工代理其所在单位的，应提交以下材料：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□①加盖单位公章的员工证明书原件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□②代理人身份证复印件</w:t>
      </w:r>
    </w:p>
    <w:p>
      <w:pPr>
        <w:rPr>
          <w:rFonts w:ascii="方正仿宋_GBK" w:hAnsi="仿宋" w:eastAsia="方正仿宋_GBK" w:cs="Times New Roman"/>
          <w:sz w:val="30"/>
          <w:szCs w:val="30"/>
        </w:rPr>
      </w:pPr>
      <w:r>
        <w:rPr>
          <w:rFonts w:ascii="方正仿宋_GBK" w:hAnsi="仿宋" w:eastAsia="方正仿宋_GBK" w:cs="方正仿宋_GBK"/>
          <w:sz w:val="30"/>
          <w:szCs w:val="30"/>
        </w:rPr>
        <w:t>E</w:t>
      </w:r>
      <w:r>
        <w:rPr>
          <w:rFonts w:hint="eastAsia" w:ascii="方正仿宋_GBK" w:hAnsi="仿宋" w:eastAsia="方正仿宋_GBK" w:cs="方正仿宋_GBK"/>
          <w:sz w:val="30"/>
          <w:szCs w:val="30"/>
        </w:rPr>
        <w:t>、公民代理的，应提交以下材料：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□①代理人身份证复印件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□②当事人所在社区、单位推荐的公民担任诉讼代理人的，应当提交推荐材料和当事人属于该社区、单位的证明材料原件</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□③有关社会团体推荐的公民担任诉讼代理人的，应当符合下列条件：</w:t>
      </w:r>
      <w:r>
        <w:rPr>
          <w:rFonts w:ascii="方正仿宋_GBK" w:hAnsi="仿宋" w:eastAsia="方正仿宋_GBK" w:cs="方正仿宋_GBK"/>
          <w:sz w:val="30"/>
          <w:szCs w:val="30"/>
        </w:rPr>
        <w:t>a.</w:t>
      </w:r>
      <w:r>
        <w:rPr>
          <w:rFonts w:hint="eastAsia" w:ascii="方正仿宋_GBK" w:hAnsi="仿宋" w:eastAsia="方正仿宋_GBK" w:cs="方正仿宋_GBK"/>
          <w:sz w:val="30"/>
          <w:szCs w:val="30"/>
        </w:rPr>
        <w:t>社会团体属于依法登记设立或者依法免予登记设立的非营利性法人组织；</w:t>
      </w:r>
      <w:r>
        <w:rPr>
          <w:rFonts w:ascii="方正仿宋_GBK" w:hAnsi="仿宋" w:eastAsia="方正仿宋_GBK" w:cs="方正仿宋_GBK"/>
          <w:sz w:val="30"/>
          <w:szCs w:val="30"/>
        </w:rPr>
        <w:t>b.</w:t>
      </w:r>
      <w:r>
        <w:rPr>
          <w:rFonts w:hint="eastAsia" w:ascii="方正仿宋_GBK" w:hAnsi="仿宋" w:eastAsia="方正仿宋_GBK" w:cs="方正仿宋_GBK"/>
          <w:sz w:val="30"/>
          <w:szCs w:val="30"/>
        </w:rPr>
        <w:t>被代理人属于该社会团体的成员，或者当事人一方住所地位于该社会团体的活动地域；</w:t>
      </w:r>
      <w:r>
        <w:rPr>
          <w:rFonts w:ascii="方正仿宋_GBK" w:hAnsi="仿宋" w:eastAsia="方正仿宋_GBK" w:cs="方正仿宋_GBK"/>
          <w:sz w:val="30"/>
          <w:szCs w:val="30"/>
        </w:rPr>
        <w:t>c.</w:t>
      </w:r>
      <w:r>
        <w:rPr>
          <w:rFonts w:hint="eastAsia" w:ascii="方正仿宋_GBK" w:hAnsi="仿宋" w:eastAsia="方正仿宋_GBK" w:cs="方正仿宋_GBK"/>
          <w:sz w:val="30"/>
          <w:szCs w:val="30"/>
        </w:rPr>
        <w:t>代理事务属于该社会团体章程载明的业务范围；</w:t>
      </w:r>
      <w:r>
        <w:rPr>
          <w:rFonts w:ascii="方正仿宋_GBK" w:hAnsi="仿宋" w:eastAsia="方正仿宋_GBK" w:cs="方正仿宋_GBK"/>
          <w:sz w:val="30"/>
          <w:szCs w:val="30"/>
        </w:rPr>
        <w:t>d.</w:t>
      </w:r>
      <w:r>
        <w:rPr>
          <w:rFonts w:hint="eastAsia" w:ascii="方正仿宋_GBK" w:hAnsi="仿宋" w:eastAsia="方正仿宋_GBK" w:cs="方正仿宋_GBK"/>
          <w:sz w:val="30"/>
          <w:szCs w:val="30"/>
        </w:rPr>
        <w:t>被推荐的公民是该社会团体的负责人或者与该社会团体有合法劳动人事关系的工作人员。</w:t>
      </w:r>
    </w:p>
    <w:p>
      <w:pPr>
        <w:rPr>
          <w:rFonts w:ascii="方正仿宋_GBK" w:hAnsi="仿宋" w:eastAsia="方正仿宋_GBK" w:cs="Times New Roman"/>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 xml:space="preserve"> 4.</w:t>
      </w:r>
      <w:r>
        <w:rPr>
          <w:rFonts w:hint="eastAsia" w:ascii="方正仿宋_GBK" w:hAnsi="仿宋" w:eastAsia="方正仿宋_GBK" w:cs="方正仿宋_GBK"/>
          <w:b/>
          <w:bCs/>
          <w:sz w:val="30"/>
          <w:szCs w:val="30"/>
        </w:rPr>
        <w:t>证据材料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□针对行政机关的处理决定书、处罚决定书、经行政复议机关复议的复议决定书或其他形式的行政决定书不服提起的诉讼，应提交上述决定书签收时间的证据证明；</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□起诉被告行政不作为时，原告应提供其在行政程序中曾经向被告提出申请的证据材料；</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□在行政赔偿诉讼中，原告应对被诉行政行为造成损害的事实提供证据。</w:t>
      </w:r>
    </w:p>
    <w:p>
      <w:pPr>
        <w:rPr>
          <w:rFonts w:hint="eastAsia" w:ascii="方正仿宋_GBK" w:hAnsi="仿宋" w:eastAsia="方正仿宋_GBK" w:cs="方正仿宋_GBK"/>
          <w:sz w:val="30"/>
          <w:szCs w:val="30"/>
        </w:rPr>
      </w:pPr>
      <w:r>
        <w:rPr>
          <w:rFonts w:hint="eastAsia" w:ascii="方正仿宋_GBK" w:hAnsi="仿宋" w:eastAsia="方正仿宋_GBK" w:cs="方正仿宋_GBK"/>
          <w:sz w:val="30"/>
          <w:szCs w:val="30"/>
        </w:rPr>
        <w:t>□行政第三人作为原告提起诉讼的，应当提交与行政行为存在利害关系的证据或符合相关法律法规的规定。</w:t>
      </w:r>
    </w:p>
    <w:p>
      <w:pPr>
        <w:rPr>
          <w:rFonts w:hint="eastAsia" w:ascii="方正仿宋_GBK" w:hAnsi="仿宋" w:eastAsia="方正仿宋_GBK" w:cs="方正仿宋_GBK"/>
          <w:sz w:val="30"/>
          <w:szCs w:val="30"/>
        </w:rPr>
      </w:pPr>
    </w:p>
    <w:p>
      <w:pPr>
        <w:rPr>
          <w:rFonts w:hint="eastAsia" w:ascii="方正仿宋_GBK" w:hAnsi="仿宋" w:eastAsia="方正仿宋_GBK" w:cs="方正仿宋_GBK"/>
          <w:sz w:val="30"/>
          <w:szCs w:val="30"/>
        </w:rPr>
      </w:pPr>
    </w:p>
    <w:p>
      <w:pPr>
        <w:rPr>
          <w:rFonts w:ascii="方正仿宋_GBK" w:hAnsi="仿宋" w:eastAsia="方正仿宋_GBK" w:cs="方正仿宋_GBK"/>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5.</w:t>
      </w:r>
      <w:r>
        <w:rPr>
          <w:rFonts w:hint="eastAsia" w:ascii="方正仿宋_GBK" w:hAnsi="仿宋" w:eastAsia="方正仿宋_GBK" w:cs="方正仿宋_GBK"/>
          <w:b/>
          <w:bCs/>
          <w:color w:val="FF0000"/>
          <w:sz w:val="30"/>
          <w:szCs w:val="30"/>
        </w:rPr>
        <w:t>（非必选项）</w:t>
      </w:r>
      <w:r>
        <w:rPr>
          <w:rFonts w:hint="eastAsia" w:ascii="方正仿宋_GBK" w:hAnsi="仿宋" w:eastAsia="方正仿宋_GBK" w:cs="方正仿宋_GBK"/>
          <w:b/>
          <w:bCs/>
          <w:sz w:val="30"/>
          <w:szCs w:val="30"/>
        </w:rPr>
        <w:t>证据材料清单</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详细列明所提交材料的名称、页数及份数，并在备注栏注明各项材料是原件或复印件及证明内容</w:t>
      </w:r>
    </w:p>
    <w:p>
      <w:pPr>
        <w:rPr>
          <w:rFonts w:ascii="方正仿宋_GBK" w:hAnsi="仿宋" w:eastAsia="方正仿宋_GBK" w:cs="方正仿宋_GBK"/>
          <w:b/>
          <w:bCs/>
          <w:sz w:val="30"/>
          <w:szCs w:val="30"/>
        </w:rPr>
      </w:pPr>
      <w:r>
        <w:rPr>
          <w:rFonts w:hint="eastAsia" w:ascii="方正仿宋_GBK" w:hAnsi="仿宋" w:eastAsia="方正仿宋_GBK" w:cs="方正仿宋_GBK"/>
          <w:b/>
          <w:bCs/>
          <w:sz w:val="30"/>
          <w:szCs w:val="30"/>
        </w:rPr>
        <w:t>□</w:t>
      </w:r>
      <w:r>
        <w:rPr>
          <w:rFonts w:ascii="方正仿宋_GBK" w:hAnsi="仿宋" w:eastAsia="方正仿宋_GBK" w:cs="方正仿宋_GBK"/>
          <w:b/>
          <w:bCs/>
          <w:sz w:val="30"/>
          <w:szCs w:val="30"/>
        </w:rPr>
        <w:t>6.</w:t>
      </w:r>
      <w:r>
        <w:rPr>
          <w:rFonts w:hint="eastAsia"/>
        </w:rPr>
        <w:t xml:space="preserve"> </w:t>
      </w:r>
      <w:r>
        <w:rPr>
          <w:rFonts w:hint="eastAsia" w:ascii="方正仿宋_GBK" w:hAnsi="仿宋" w:eastAsia="方正仿宋_GBK" w:cs="方正仿宋_GBK"/>
          <w:b/>
          <w:bCs/>
          <w:sz w:val="30"/>
          <w:szCs w:val="30"/>
        </w:rPr>
        <w:t>原告（申请人）诉讼文书送达地址确认书、原告（申请人）提供被告（被申请人）送达地址线索书、诚信诉讼承诺书</w:t>
      </w:r>
    </w:p>
    <w:p>
      <w:pPr>
        <w:rPr>
          <w:rFonts w:ascii="方正仿宋_GBK" w:hAnsi="仿宋" w:eastAsia="方正仿宋_GBK" w:cs="Times New Roman"/>
          <w:sz w:val="30"/>
          <w:szCs w:val="30"/>
        </w:rPr>
      </w:pPr>
      <w:r>
        <w:rPr>
          <w:rFonts w:hint="eastAsia" w:ascii="方正仿宋_GBK" w:hAnsi="仿宋" w:eastAsia="方正仿宋_GBK" w:cs="方正仿宋_GBK"/>
          <w:sz w:val="30"/>
          <w:szCs w:val="30"/>
        </w:rPr>
        <w:t>从</w:t>
      </w:r>
      <w:r>
        <w:rPr>
          <w:rFonts w:hint="eastAsia" w:ascii="方正仿宋_GBK" w:hAnsi="仿宋" w:eastAsia="方正仿宋_GBK" w:cs="方正仿宋_GBK"/>
          <w:color w:val="FF0000"/>
          <w:sz w:val="30"/>
          <w:szCs w:val="30"/>
        </w:rPr>
        <w:t>本院官网及本院微信公众号</w:t>
      </w:r>
      <w:r>
        <w:rPr>
          <w:rFonts w:hint="eastAsia" w:ascii="方正仿宋_GBK" w:hAnsi="仿宋" w:eastAsia="方正仿宋_GBK" w:cs="方正仿宋_GBK"/>
          <w:sz w:val="30"/>
          <w:szCs w:val="30"/>
        </w:rPr>
        <w:t>下载相应文书模板，详细填写各方当事人的联系地址及联系方式并签字确认。当事人联系信息真实填写，不得与代理人联系信息雷同。</w:t>
      </w:r>
    </w:p>
    <w:p>
      <w:pPr>
        <w:pStyle w:val="10"/>
        <w:numPr>
          <w:ilvl w:val="0"/>
          <w:numId w:val="1"/>
        </w:numPr>
        <w:ind w:firstLineChars="0"/>
        <w:rPr>
          <w:rFonts w:cs="Times New Roman"/>
        </w:rPr>
      </w:pPr>
      <w:r>
        <w:rPr>
          <w:rFonts w:ascii="方正仿宋_GBK" w:hAnsi="仿宋" w:eastAsia="方正仿宋_GBK" w:cs="方正仿宋_GBK"/>
          <w:b/>
          <w:bCs/>
          <w:sz w:val="30"/>
          <w:szCs w:val="30"/>
        </w:rPr>
        <w:t>7.</w:t>
      </w:r>
      <w:r>
        <w:rPr>
          <w:rFonts w:hint="eastAsia" w:ascii="方正仿宋_GBK" w:hAnsi="仿宋" w:eastAsia="方正仿宋_GBK" w:cs="方正仿宋_GBK"/>
          <w:b/>
          <w:bCs/>
          <w:sz w:val="30"/>
          <w:szCs w:val="30"/>
        </w:rPr>
        <w:t>管辖证明材料（或书面说明）</w:t>
      </w:r>
    </w:p>
    <w:p>
      <w:pPr>
        <w:pStyle w:val="10"/>
        <w:ind w:left="360" w:firstLine="0" w:firstLineChars="0"/>
        <w:rPr>
          <w:rFonts w:hint="eastAsia" w:ascii="方正仿宋_GBK" w:hAnsi="仿宋" w:eastAsia="方正仿宋_GBK" w:cs="方正仿宋_GBK"/>
          <w:color w:val="FF0000"/>
          <w:sz w:val="30"/>
          <w:szCs w:val="30"/>
        </w:rPr>
      </w:pPr>
      <w:r>
        <w:rPr>
          <w:rFonts w:hint="eastAsia" w:ascii="方正仿宋_GBK" w:hAnsi="仿宋" w:eastAsia="方正仿宋_GBK" w:cs="方正仿宋_GBK"/>
          <w:color w:val="FF0000"/>
          <w:sz w:val="30"/>
          <w:szCs w:val="30"/>
          <w:lang w:eastAsia="zh-CN"/>
        </w:rPr>
        <w:t>注意</w:t>
      </w:r>
      <w:r>
        <w:rPr>
          <w:rFonts w:hint="eastAsia" w:ascii="方正仿宋_GBK" w:hAnsi="仿宋" w:eastAsia="方正仿宋_GBK" w:cs="方正仿宋_GBK"/>
          <w:color w:val="FF0000"/>
          <w:sz w:val="30"/>
          <w:szCs w:val="30"/>
        </w:rPr>
        <w:t>：</w:t>
      </w:r>
    </w:p>
    <w:p>
      <w:pPr>
        <w:pStyle w:val="10"/>
        <w:ind w:left="360" w:firstLine="0" w:firstLineChars="0"/>
        <w:rPr>
          <w:rFonts w:hint="eastAsia" w:ascii="方正仿宋_GBK" w:hAnsi="仿宋" w:eastAsia="方正仿宋_GBK" w:cs="方正仿宋_GBK"/>
          <w:sz w:val="30"/>
          <w:szCs w:val="30"/>
        </w:rPr>
      </w:pPr>
      <w:bookmarkStart w:id="0" w:name="_GoBack"/>
      <w:r>
        <w:rPr>
          <w:rFonts w:hint="eastAsia" w:ascii="方正仿宋_GBK" w:hAnsi="仿宋" w:eastAsia="方正仿宋_GBK" w:cs="方正仿宋_GBK"/>
          <w:sz w:val="30"/>
          <w:szCs w:val="30"/>
          <w:lang w:eastAsia="zh-CN"/>
        </w:rPr>
        <w:t>（</w:t>
      </w:r>
      <w:r>
        <w:rPr>
          <w:rFonts w:hint="eastAsia" w:ascii="方正仿宋_GBK" w:hAnsi="仿宋" w:eastAsia="方正仿宋_GBK" w:cs="方正仿宋_GBK"/>
          <w:sz w:val="30"/>
          <w:szCs w:val="30"/>
          <w:lang w:val="en-US" w:eastAsia="zh-CN"/>
        </w:rPr>
        <w:t>1</w:t>
      </w:r>
      <w:r>
        <w:rPr>
          <w:rFonts w:hint="eastAsia" w:ascii="方正仿宋_GBK" w:hAnsi="仿宋" w:eastAsia="方正仿宋_GBK" w:cs="方正仿宋_GBK"/>
          <w:sz w:val="30"/>
          <w:szCs w:val="30"/>
          <w:lang w:eastAsia="zh-CN"/>
        </w:rPr>
        <w:t>）</w:t>
      </w:r>
      <w:r>
        <w:rPr>
          <w:rFonts w:hint="eastAsia" w:ascii="方正仿宋_GBK" w:hAnsi="仿宋" w:eastAsia="方正仿宋_GBK" w:cs="方正仿宋_GBK"/>
          <w:sz w:val="30"/>
          <w:szCs w:val="30"/>
        </w:rPr>
        <w:t>被告为市政府部门、区政府部门、街道办、乡镇政府由</w:t>
      </w:r>
      <w:r>
        <w:rPr>
          <w:rFonts w:hint="eastAsia" w:ascii="方正仿宋_GBK" w:hAnsi="仿宋" w:eastAsia="方正仿宋_GBK" w:cs="方正仿宋_GBK"/>
          <w:color w:val="FF0000"/>
          <w:sz w:val="30"/>
          <w:szCs w:val="30"/>
          <w:lang w:eastAsia="zh-CN"/>
        </w:rPr>
        <w:t>深圳市盐田区人民法院集中管辖</w:t>
      </w:r>
      <w:r>
        <w:rPr>
          <w:rFonts w:hint="eastAsia" w:ascii="方正仿宋_GBK" w:hAnsi="仿宋" w:eastAsia="方正仿宋_GBK" w:cs="方正仿宋_GBK"/>
          <w:sz w:val="30"/>
          <w:szCs w:val="30"/>
        </w:rPr>
        <w:t>。</w:t>
      </w:r>
    </w:p>
    <w:p>
      <w:pPr>
        <w:pStyle w:val="10"/>
        <w:ind w:left="360" w:firstLine="0" w:firstLineChars="0"/>
        <w:rPr>
          <w:rFonts w:hint="eastAsia" w:ascii="方正仿宋_GBK" w:hAnsi="仿宋" w:eastAsia="方正仿宋_GBK" w:cs="方正仿宋_GBK"/>
          <w:sz w:val="30"/>
          <w:szCs w:val="30"/>
        </w:rPr>
      </w:pPr>
      <w:r>
        <w:rPr>
          <w:rFonts w:hint="eastAsia" w:ascii="方正仿宋_GBK" w:hAnsi="仿宋" w:eastAsia="方正仿宋_GBK" w:cs="方正仿宋_GBK"/>
          <w:sz w:val="30"/>
          <w:szCs w:val="30"/>
          <w:lang w:eastAsia="zh-CN"/>
        </w:rPr>
        <w:t>（</w:t>
      </w:r>
      <w:r>
        <w:rPr>
          <w:rFonts w:hint="eastAsia" w:ascii="方正仿宋_GBK" w:hAnsi="仿宋" w:eastAsia="方正仿宋_GBK" w:cs="方正仿宋_GBK"/>
          <w:sz w:val="30"/>
          <w:szCs w:val="30"/>
          <w:lang w:val="en-US" w:eastAsia="zh-CN"/>
        </w:rPr>
        <w:t>2</w:t>
      </w:r>
      <w:r>
        <w:rPr>
          <w:rFonts w:hint="eastAsia" w:ascii="方正仿宋_GBK" w:hAnsi="仿宋" w:eastAsia="方正仿宋_GBK" w:cs="方正仿宋_GBK"/>
          <w:sz w:val="30"/>
          <w:szCs w:val="30"/>
          <w:lang w:eastAsia="zh-CN"/>
        </w:rPr>
        <w:t>）</w:t>
      </w:r>
      <w:r>
        <w:rPr>
          <w:rFonts w:hint="eastAsia" w:ascii="方正仿宋_GBK" w:hAnsi="仿宋" w:eastAsia="方正仿宋_GBK" w:cs="方正仿宋_GBK"/>
          <w:sz w:val="30"/>
          <w:szCs w:val="30"/>
        </w:rPr>
        <w:t>区级以上人民政府作为复议机关被列为被告的，复议决定作出维持原决定的，</w:t>
      </w:r>
      <w:r>
        <w:rPr>
          <w:rFonts w:hint="eastAsia" w:ascii="方正仿宋_GBK" w:hAnsi="仿宋" w:eastAsia="方正仿宋_GBK" w:cs="方正仿宋_GBK"/>
          <w:color w:val="FF0000"/>
          <w:sz w:val="30"/>
          <w:szCs w:val="30"/>
          <w:lang w:eastAsia="zh-CN"/>
        </w:rPr>
        <w:t>由作出原行政决定的行政机关对应的人民法院管辖</w:t>
      </w:r>
      <w:r>
        <w:rPr>
          <w:rFonts w:hint="eastAsia" w:ascii="方正仿宋_GBK" w:hAnsi="仿宋" w:eastAsia="方正仿宋_GBK" w:cs="方正仿宋_GBK"/>
          <w:sz w:val="30"/>
          <w:szCs w:val="30"/>
        </w:rPr>
        <w:t>。</w:t>
      </w:r>
    </w:p>
    <w:p>
      <w:pPr>
        <w:pStyle w:val="10"/>
        <w:ind w:left="360" w:firstLine="0" w:firstLineChars="0"/>
        <w:rPr>
          <w:rFonts w:hint="eastAsia" w:ascii="方正仿宋_GBK" w:hAnsi="仿宋" w:eastAsia="方正仿宋_GBK" w:cs="方正仿宋_GBK"/>
          <w:sz w:val="30"/>
          <w:szCs w:val="30"/>
        </w:rPr>
      </w:pPr>
      <w:r>
        <w:rPr>
          <w:rFonts w:hint="eastAsia" w:ascii="方正仿宋_GBK" w:hAnsi="仿宋" w:eastAsia="方正仿宋_GBK" w:cs="方正仿宋_GBK"/>
          <w:sz w:val="30"/>
          <w:szCs w:val="30"/>
        </w:rPr>
        <w:t>如</w:t>
      </w:r>
      <w:r>
        <w:rPr>
          <w:rFonts w:hint="eastAsia" w:ascii="方正仿宋_GBK" w:hAnsi="仿宋" w:eastAsia="方正仿宋_GBK" w:cs="方正仿宋_GBK"/>
          <w:sz w:val="30"/>
          <w:szCs w:val="30"/>
          <w:lang w:eastAsia="zh-CN"/>
        </w:rPr>
        <w:t>：</w:t>
      </w:r>
      <w:r>
        <w:rPr>
          <w:rFonts w:hint="eastAsia" w:ascii="方正仿宋_GBK" w:hAnsi="仿宋" w:eastAsia="方正仿宋_GBK" w:cs="方正仿宋_GBK"/>
          <w:sz w:val="30"/>
          <w:szCs w:val="30"/>
        </w:rPr>
        <w:t>市XX</w:t>
      </w:r>
      <w:r>
        <w:rPr>
          <w:rFonts w:hint="eastAsia" w:ascii="方正仿宋_GBK" w:hAnsi="仿宋" w:eastAsia="方正仿宋_GBK" w:cs="方正仿宋_GBK"/>
          <w:sz w:val="30"/>
          <w:szCs w:val="30"/>
        </w:rPr>
        <w:t>局作出的行政决定，市政府复议维持的，由深圳市盐田区人民法院</w:t>
      </w:r>
      <w:r>
        <w:rPr>
          <w:rFonts w:hint="eastAsia" w:ascii="方正仿宋_GBK" w:hAnsi="仿宋" w:eastAsia="方正仿宋_GBK" w:cs="方正仿宋_GBK"/>
          <w:sz w:val="30"/>
          <w:szCs w:val="30"/>
        </w:rPr>
        <w:t>管辖。</w:t>
      </w:r>
    </w:p>
    <w:p>
      <w:pPr>
        <w:pStyle w:val="10"/>
        <w:numPr>
          <w:ilvl w:val="0"/>
          <w:numId w:val="2"/>
        </w:numPr>
        <w:ind w:left="400" w:leftChars="0" w:firstLine="0" w:firstLineChars="0"/>
        <w:rPr>
          <w:rFonts w:hint="eastAsia" w:ascii="方正仿宋_GBK" w:hAnsi="仿宋" w:eastAsia="方正仿宋_GBK" w:cs="方正仿宋_GBK"/>
          <w:sz w:val="30"/>
          <w:szCs w:val="30"/>
          <w:lang w:eastAsia="zh-CN"/>
        </w:rPr>
      </w:pPr>
      <w:r>
        <w:rPr>
          <w:rFonts w:hint="eastAsia" w:ascii="方正仿宋_GBK" w:hAnsi="仿宋" w:eastAsia="方正仿宋_GBK" w:cs="方正仿宋_GBK"/>
          <w:sz w:val="30"/>
          <w:szCs w:val="30"/>
          <w:lang w:eastAsia="zh-CN"/>
        </w:rPr>
        <w:t>对县级以上人民政府所作出的行政行为提起诉讼的一审行政案件中，属于下列案由的，</w:t>
      </w:r>
      <w:r>
        <w:rPr>
          <w:rFonts w:hint="eastAsia" w:ascii="方正仿宋_GBK" w:hAnsi="仿宋" w:eastAsia="方正仿宋_GBK" w:cs="方正仿宋_GBK"/>
          <w:color w:val="FF0000"/>
          <w:sz w:val="30"/>
          <w:szCs w:val="30"/>
          <w:lang w:eastAsia="zh-CN"/>
        </w:rPr>
        <w:t>由</w:t>
      </w:r>
      <w:r>
        <w:rPr>
          <w:rFonts w:hint="eastAsia" w:ascii="方正仿宋_GBK" w:hAnsi="仿宋" w:eastAsia="方正仿宋_GBK" w:cs="方正仿宋_GBK"/>
          <w:color w:val="FF0000"/>
          <w:sz w:val="30"/>
          <w:szCs w:val="30"/>
        </w:rPr>
        <w:t>深圳市盐田区人民法院</w:t>
      </w:r>
      <w:r>
        <w:rPr>
          <w:rFonts w:hint="eastAsia" w:ascii="方正仿宋_GBK" w:hAnsi="仿宋" w:eastAsia="方正仿宋_GBK" w:cs="方正仿宋_GBK"/>
          <w:color w:val="FF0000"/>
          <w:sz w:val="30"/>
          <w:szCs w:val="30"/>
          <w:lang w:eastAsia="zh-CN"/>
        </w:rPr>
        <w:t>管辖：</w:t>
      </w:r>
    </w:p>
    <w:p>
      <w:pPr>
        <w:pStyle w:val="10"/>
        <w:keepNext w:val="0"/>
        <w:keepLines w:val="0"/>
        <w:pageBreakBefore w:val="0"/>
        <w:widowControl/>
        <w:numPr>
          <w:numId w:val="0"/>
        </w:numPr>
        <w:kinsoku/>
        <w:wordWrap/>
        <w:overflowPunct/>
        <w:topLinePunct w:val="0"/>
        <w:autoSpaceDE/>
        <w:autoSpaceDN/>
        <w:bidi w:val="0"/>
        <w:adjustRightInd/>
        <w:snapToGrid/>
        <w:ind w:left="363" w:leftChars="0" w:firstLine="600" w:firstLineChars="200"/>
        <w:textAlignment w:val="auto"/>
        <w:rPr>
          <w:rFonts w:hint="eastAsia" w:ascii="方正仿宋_GBK" w:hAnsi="仿宋" w:eastAsia="方正仿宋_GBK" w:cs="方正仿宋_GBK"/>
          <w:sz w:val="30"/>
          <w:szCs w:val="30"/>
          <w:lang w:eastAsia="zh-CN"/>
        </w:rPr>
      </w:pPr>
      <w:r>
        <w:rPr>
          <w:rFonts w:hint="eastAsia" w:ascii="方正仿宋_GBK" w:hAnsi="仿宋" w:eastAsia="方正仿宋_GBK" w:cs="方正仿宋_GBK"/>
          <w:sz w:val="30"/>
          <w:szCs w:val="30"/>
          <w:lang w:eastAsia="zh-CN"/>
        </w:rPr>
        <w:t>①</w:t>
      </w:r>
      <w:r>
        <w:rPr>
          <w:rFonts w:hint="eastAsia" w:ascii="方正仿宋_GBK" w:hAnsi="仿宋" w:eastAsia="方正仿宋_GBK" w:cs="方正仿宋_GBK"/>
          <w:sz w:val="30"/>
          <w:szCs w:val="30"/>
          <w:lang w:eastAsia="zh-CN"/>
        </w:rPr>
        <w:t>行政复议机关不予受理或者程序性驳回复议申请的案件；②</w:t>
      </w:r>
      <w:r>
        <w:rPr>
          <w:rFonts w:hint="eastAsia" w:ascii="方正仿宋_GBK" w:hAnsi="仿宋" w:eastAsia="方正仿宋_GBK" w:cs="方正仿宋_GBK"/>
          <w:sz w:val="30"/>
          <w:szCs w:val="30"/>
          <w:lang w:eastAsia="zh-CN"/>
        </w:rPr>
        <w:t>政府信息公开案件；</w:t>
      </w:r>
    </w:p>
    <w:p>
      <w:pPr>
        <w:pStyle w:val="10"/>
        <w:keepNext w:val="0"/>
        <w:keepLines w:val="0"/>
        <w:pageBreakBefore w:val="0"/>
        <w:widowControl/>
        <w:numPr>
          <w:numId w:val="0"/>
        </w:numPr>
        <w:kinsoku/>
        <w:wordWrap/>
        <w:overflowPunct/>
        <w:topLinePunct w:val="0"/>
        <w:autoSpaceDE/>
        <w:autoSpaceDN/>
        <w:bidi w:val="0"/>
        <w:adjustRightInd/>
        <w:snapToGrid/>
        <w:ind w:left="363" w:leftChars="0" w:firstLine="600" w:firstLineChars="200"/>
        <w:textAlignment w:val="auto"/>
        <w:rPr>
          <w:rFonts w:hint="eastAsia" w:ascii="方正仿宋_GBK" w:hAnsi="仿宋" w:eastAsia="方正仿宋_GBK" w:cs="方正仿宋_GBK"/>
          <w:sz w:val="30"/>
          <w:szCs w:val="30"/>
          <w:lang w:eastAsia="zh-CN"/>
        </w:rPr>
      </w:pPr>
      <w:r>
        <w:rPr>
          <w:rFonts w:hint="eastAsia" w:ascii="东文宋体" w:hAnsi="东文宋体" w:eastAsia="东文宋体" w:cs="东文宋体"/>
          <w:sz w:val="30"/>
          <w:szCs w:val="30"/>
          <w:lang w:eastAsia="zh-CN"/>
        </w:rPr>
        <w:t>③</w:t>
      </w:r>
      <w:r>
        <w:rPr>
          <w:rFonts w:hint="eastAsia" w:ascii="方正仿宋_GBK" w:hAnsi="仿宋" w:eastAsia="方正仿宋_GBK" w:cs="方正仿宋_GBK"/>
          <w:sz w:val="30"/>
          <w:szCs w:val="30"/>
          <w:lang w:eastAsia="zh-CN"/>
        </w:rPr>
        <w:t>不履行法定职责的案件；</w:t>
      </w:r>
    </w:p>
    <w:p>
      <w:pPr>
        <w:pStyle w:val="10"/>
        <w:keepNext w:val="0"/>
        <w:keepLines w:val="0"/>
        <w:pageBreakBefore w:val="0"/>
        <w:widowControl/>
        <w:numPr>
          <w:numId w:val="0"/>
        </w:numPr>
        <w:kinsoku/>
        <w:wordWrap/>
        <w:overflowPunct/>
        <w:topLinePunct w:val="0"/>
        <w:autoSpaceDE/>
        <w:autoSpaceDN/>
        <w:bidi w:val="0"/>
        <w:adjustRightInd/>
        <w:snapToGrid/>
        <w:ind w:left="363" w:leftChars="0" w:firstLine="600" w:firstLineChars="200"/>
        <w:textAlignment w:val="auto"/>
        <w:rPr>
          <w:rFonts w:hint="eastAsia" w:ascii="方正仿宋_GBK" w:hAnsi="仿宋" w:eastAsia="方正仿宋_GBK" w:cs="方正仿宋_GBK"/>
          <w:sz w:val="30"/>
          <w:szCs w:val="30"/>
          <w:lang w:eastAsia="zh-CN"/>
        </w:rPr>
      </w:pPr>
      <w:r>
        <w:rPr>
          <w:rFonts w:hint="eastAsia" w:ascii="方正仿宋_GBK" w:hAnsi="方正仿宋_GBK" w:eastAsia="方正仿宋_GBK" w:cs="方正仿宋_GBK"/>
          <w:sz w:val="30"/>
          <w:szCs w:val="30"/>
          <w:lang w:eastAsia="zh-CN"/>
        </w:rPr>
        <w:t>④</w:t>
      </w:r>
      <w:r>
        <w:rPr>
          <w:rFonts w:hint="eastAsia" w:ascii="方正仿宋_GBK" w:hAnsi="仿宋" w:eastAsia="方正仿宋_GBK" w:cs="方正仿宋_GBK"/>
          <w:sz w:val="30"/>
          <w:szCs w:val="30"/>
          <w:lang w:eastAsia="zh-CN"/>
        </w:rPr>
        <w:t>山林、土地等自然资源权属争议行政裁决案件。</w:t>
      </w:r>
    </w:p>
    <w:p>
      <w:pPr>
        <w:pStyle w:val="10"/>
        <w:numPr>
          <w:numId w:val="0"/>
        </w:numPr>
        <w:ind w:left="360" w:leftChars="0"/>
        <w:rPr>
          <w:rFonts w:hint="eastAsia" w:ascii="方正仿宋_GBK" w:hAnsi="仿宋" w:eastAsia="方正仿宋_GBK" w:cs="方正仿宋_GBK"/>
          <w:sz w:val="30"/>
          <w:szCs w:val="30"/>
          <w:lang w:eastAsia="zh-CN"/>
        </w:rPr>
      </w:pPr>
      <w:r>
        <w:rPr>
          <w:rFonts w:hint="eastAsia" w:ascii="方正仿宋_GBK" w:hAnsi="仿宋" w:eastAsia="方正仿宋_GBK" w:cs="方正仿宋_GBK"/>
          <w:sz w:val="30"/>
          <w:szCs w:val="30"/>
          <w:lang w:eastAsia="zh-CN"/>
        </w:rPr>
        <w:t>（</w:t>
      </w:r>
      <w:r>
        <w:rPr>
          <w:rFonts w:hint="eastAsia" w:ascii="方正仿宋_GBK" w:hAnsi="仿宋" w:eastAsia="方正仿宋_GBK" w:cs="方正仿宋_GBK"/>
          <w:sz w:val="30"/>
          <w:szCs w:val="30"/>
          <w:lang w:val="en-US" w:eastAsia="zh-CN"/>
        </w:rPr>
        <w:t>4</w:t>
      </w:r>
      <w:r>
        <w:rPr>
          <w:rFonts w:hint="eastAsia" w:ascii="方正仿宋_GBK" w:hAnsi="仿宋" w:eastAsia="方正仿宋_GBK" w:cs="方正仿宋_GBK"/>
          <w:sz w:val="30"/>
          <w:szCs w:val="30"/>
          <w:lang w:eastAsia="zh-CN"/>
        </w:rPr>
        <w:t>）广东省内对省直属厅（局）级行政机关、开发区管理机</w:t>
      </w:r>
    </w:p>
    <w:p>
      <w:pPr>
        <w:pStyle w:val="10"/>
        <w:numPr>
          <w:ilvl w:val="0"/>
          <w:numId w:val="0"/>
        </w:numPr>
        <w:ind w:left="360" w:leftChars="0"/>
        <w:rPr>
          <w:rFonts w:hint="eastAsia" w:ascii="方正仿宋_GBK" w:hAnsi="仿宋" w:eastAsia="方正仿宋_GBK" w:cs="方正仿宋_GBK"/>
          <w:sz w:val="30"/>
          <w:szCs w:val="30"/>
          <w:lang w:eastAsia="zh-CN"/>
        </w:rPr>
      </w:pPr>
      <w:r>
        <w:rPr>
          <w:rFonts w:hint="eastAsia" w:ascii="方正仿宋_GBK" w:hAnsi="仿宋" w:eastAsia="方正仿宋_GBK" w:cs="方正仿宋_GBK"/>
          <w:sz w:val="30"/>
          <w:szCs w:val="30"/>
          <w:lang w:eastAsia="zh-CN"/>
        </w:rPr>
        <w:t>构所作出的行政行为提起诉讼的一审行政案件，</w:t>
      </w:r>
      <w:r>
        <w:rPr>
          <w:rFonts w:hint="eastAsia" w:ascii="方正仿宋_GBK" w:hAnsi="仿宋" w:eastAsia="方正仿宋_GBK" w:cs="方正仿宋_GBK"/>
          <w:color w:val="FF0000"/>
          <w:sz w:val="30"/>
          <w:szCs w:val="30"/>
          <w:lang w:eastAsia="zh-CN"/>
        </w:rPr>
        <w:t>由行政机关所在地集中管辖基层法院管辖</w:t>
      </w:r>
      <w:r>
        <w:rPr>
          <w:rFonts w:hint="eastAsia" w:ascii="方正仿宋_GBK" w:hAnsi="仿宋" w:eastAsia="方正仿宋_GBK" w:cs="方正仿宋_GBK"/>
          <w:sz w:val="30"/>
          <w:szCs w:val="30"/>
          <w:lang w:eastAsia="zh-CN"/>
        </w:rPr>
        <w:t>。</w:t>
      </w:r>
    </w:p>
    <w:p>
      <w:pPr>
        <w:pStyle w:val="10"/>
        <w:numPr>
          <w:ilvl w:val="0"/>
          <w:numId w:val="0"/>
        </w:numPr>
        <w:ind w:left="360" w:leftChars="0"/>
        <w:rPr>
          <w:rFonts w:hint="eastAsia" w:ascii="方正仿宋_GBK" w:hAnsi="仿宋" w:eastAsia="方正仿宋_GBK" w:cs="方正仿宋_GBK"/>
          <w:sz w:val="30"/>
          <w:szCs w:val="30"/>
          <w:lang w:eastAsia="zh-CN"/>
        </w:rPr>
      </w:pPr>
      <w:r>
        <w:rPr>
          <w:rFonts w:hint="eastAsia" w:ascii="方正仿宋_GBK" w:hAnsi="仿宋" w:eastAsia="方正仿宋_GBK" w:cs="方正仿宋_GBK"/>
          <w:sz w:val="30"/>
          <w:szCs w:val="30"/>
          <w:lang w:eastAsia="zh-CN"/>
        </w:rPr>
        <w:t>（</w:t>
      </w:r>
      <w:r>
        <w:rPr>
          <w:rFonts w:hint="eastAsia" w:ascii="方正仿宋_GBK" w:hAnsi="仿宋" w:eastAsia="方正仿宋_GBK" w:cs="方正仿宋_GBK"/>
          <w:sz w:val="30"/>
          <w:szCs w:val="30"/>
          <w:lang w:val="en-US" w:eastAsia="zh-CN"/>
        </w:rPr>
        <w:t>5</w:t>
      </w:r>
      <w:r>
        <w:rPr>
          <w:rFonts w:hint="eastAsia" w:ascii="方正仿宋_GBK" w:hAnsi="仿宋" w:eastAsia="方正仿宋_GBK" w:cs="方正仿宋_GBK"/>
          <w:sz w:val="30"/>
          <w:szCs w:val="30"/>
          <w:lang w:eastAsia="zh-CN"/>
        </w:rPr>
        <w:t>）全市涉外或者涉及香港特别行政区、澳门特别行政区、台湾地区的一审行政案件（社会影响重大的共同诉讼案件等重大、复杂案件除外）由</w:t>
      </w:r>
      <w:r>
        <w:rPr>
          <w:rFonts w:hint="eastAsia" w:ascii="方正仿宋_GBK" w:hAnsi="仿宋" w:eastAsia="方正仿宋_GBK" w:cs="方正仿宋_GBK"/>
          <w:color w:val="FF0000"/>
          <w:sz w:val="30"/>
          <w:szCs w:val="30"/>
          <w:lang w:eastAsia="zh-CN"/>
        </w:rPr>
        <w:t>基层人民法院管辖</w:t>
      </w:r>
      <w:r>
        <w:rPr>
          <w:rFonts w:hint="eastAsia" w:ascii="方正仿宋_GBK" w:hAnsi="仿宋" w:eastAsia="方正仿宋_GBK" w:cs="方正仿宋_GBK"/>
          <w:sz w:val="30"/>
          <w:szCs w:val="30"/>
          <w:lang w:eastAsia="zh-CN"/>
        </w:rPr>
        <w:t>。</w:t>
      </w:r>
    </w:p>
    <w:p>
      <w:pPr>
        <w:pStyle w:val="10"/>
        <w:keepNext w:val="0"/>
        <w:keepLines w:val="0"/>
        <w:pageBreakBefore w:val="0"/>
        <w:widowControl/>
        <w:numPr>
          <w:numId w:val="0"/>
        </w:numPr>
        <w:kinsoku/>
        <w:wordWrap/>
        <w:overflowPunct/>
        <w:topLinePunct w:val="0"/>
        <w:autoSpaceDE/>
        <w:autoSpaceDN/>
        <w:bidi w:val="0"/>
        <w:adjustRightInd/>
        <w:snapToGrid/>
        <w:ind w:left="363" w:leftChars="0" w:firstLine="600" w:firstLineChars="200"/>
        <w:textAlignment w:val="auto"/>
        <w:rPr>
          <w:rFonts w:hint="eastAsia" w:ascii="方正仿宋_GBK" w:hAnsi="仿宋" w:eastAsia="方正仿宋_GBK" w:cs="方正仿宋_GBK"/>
          <w:sz w:val="30"/>
          <w:szCs w:val="30"/>
          <w:lang w:eastAsia="zh-CN"/>
        </w:rPr>
      </w:pPr>
      <w:r>
        <w:rPr>
          <w:rFonts w:hint="eastAsia" w:ascii="方正仿宋_GBK" w:hAnsi="仿宋" w:eastAsia="方正仿宋_GBK" w:cs="方正仿宋_GBK"/>
          <w:sz w:val="30"/>
          <w:szCs w:val="30"/>
          <w:lang w:eastAsia="zh-CN"/>
        </w:rPr>
        <w:t>其中，环境资源类涉外或者涉及香港特别行政区、澳门特别行政区、台湾地区的一审行政案件由深圳市龙岗区人民法院按照环境资源类案件“三审合一”集中管辖；除专利、垄断外的知识产权类涉外或者涉及香港特别行政区、澳门特别行政区、台湾地区的一审行政案件由深圳市各相应基层人民法院按照知识产权案件“三审合一”集中管辖；其他涉外或者涉及香港特别行政区、澳门特别行政区、台湾地区的一审行政案件由深圳市盐田区人民法院集中管辖。</w:t>
      </w:r>
    </w:p>
    <w:bookmarkEnd w:id="0"/>
    <w:p>
      <w:pPr>
        <w:pStyle w:val="10"/>
        <w:ind w:left="360" w:leftChars="180" w:firstLine="600"/>
        <w:rPr>
          <w:rFonts w:ascii="方正仿宋_GBK" w:hAnsi="仿宋" w:eastAsia="方正仿宋_GBK" w:cs="方正仿宋_GBK"/>
          <w:sz w:val="30"/>
          <w:szCs w:val="3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书宋_GBK">
    <w:panose1 w:val="02000000000000000000"/>
    <w:charset w:val="86"/>
    <w:family w:val="auto"/>
    <w:pitch w:val="default"/>
    <w:sig w:usb0="00000001" w:usb1="08000000" w:usb2="00000000" w:usb3="00000000" w:csb0="00040000" w:csb1="00000000"/>
  </w:font>
  <w:font w:name="方正小标宋简体">
    <w:panose1 w:val="02000000000000000000"/>
    <w:charset w:val="86"/>
    <w:family w:val="script"/>
    <w:pitch w:val="default"/>
    <w:sig w:usb0="A00002BF" w:usb1="184F6CFA" w:usb2="00000012" w:usb3="00000000" w:csb0="00040001" w:csb1="00000000"/>
  </w:font>
  <w:font w:name="方正仿宋_GBK">
    <w:panose1 w:val="02000000000000000000"/>
    <w:charset w:val="86"/>
    <w:family w:val="script"/>
    <w:pitch w:val="default"/>
    <w:sig w:usb0="00000001" w:usb1="08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东文宋体">
    <w:altName w:val="方正书宋_GBK"/>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F7067"/>
    <w:multiLevelType w:val="singleLevel"/>
    <w:tmpl w:val="D5DF7067"/>
    <w:lvl w:ilvl="0" w:tentative="0">
      <w:start w:val="3"/>
      <w:numFmt w:val="decimal"/>
      <w:suff w:val="nothing"/>
      <w:lvlText w:val="（%1）"/>
      <w:lvlJc w:val="left"/>
      <w:pPr>
        <w:ind w:left="40"/>
      </w:pPr>
    </w:lvl>
  </w:abstractNum>
  <w:abstractNum w:abstractNumId="1">
    <w:nsid w:val="2A0703D1"/>
    <w:multiLevelType w:val="multilevel"/>
    <w:tmpl w:val="2A0703D1"/>
    <w:lvl w:ilvl="0" w:tentative="0">
      <w:start w:val="0"/>
      <w:numFmt w:val="bullet"/>
      <w:lvlText w:val="□"/>
      <w:lvlJc w:val="left"/>
      <w:pPr>
        <w:ind w:left="360" w:hanging="360"/>
      </w:pPr>
      <w:rPr>
        <w:rFonts w:hint="eastAsia" w:ascii="方正仿宋_GBK" w:hAnsi="仿宋" w:eastAsia="方正仿宋_GBK"/>
        <w:b/>
        <w:bCs/>
        <w:sz w:val="30"/>
        <w:szCs w:val="30"/>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FD1"/>
    <w:rsid w:val="00027859"/>
    <w:rsid w:val="00050F76"/>
    <w:rsid w:val="000840F6"/>
    <w:rsid w:val="00086862"/>
    <w:rsid w:val="00090F35"/>
    <w:rsid w:val="000A329F"/>
    <w:rsid w:val="000B5156"/>
    <w:rsid w:val="000E45A9"/>
    <w:rsid w:val="001C468E"/>
    <w:rsid w:val="001C499A"/>
    <w:rsid w:val="001C536B"/>
    <w:rsid w:val="001F0CAF"/>
    <w:rsid w:val="00226BE5"/>
    <w:rsid w:val="00283053"/>
    <w:rsid w:val="00295FFD"/>
    <w:rsid w:val="002B101F"/>
    <w:rsid w:val="002D5312"/>
    <w:rsid w:val="002E5259"/>
    <w:rsid w:val="00321425"/>
    <w:rsid w:val="00331778"/>
    <w:rsid w:val="003B5726"/>
    <w:rsid w:val="00467CD2"/>
    <w:rsid w:val="00495A01"/>
    <w:rsid w:val="004C138E"/>
    <w:rsid w:val="004C3B77"/>
    <w:rsid w:val="00576822"/>
    <w:rsid w:val="00584008"/>
    <w:rsid w:val="005860DF"/>
    <w:rsid w:val="005F2940"/>
    <w:rsid w:val="006366EC"/>
    <w:rsid w:val="00641228"/>
    <w:rsid w:val="00686E2E"/>
    <w:rsid w:val="006E636A"/>
    <w:rsid w:val="006E7EA3"/>
    <w:rsid w:val="00747CE6"/>
    <w:rsid w:val="00753D9E"/>
    <w:rsid w:val="00765FD1"/>
    <w:rsid w:val="007F17BD"/>
    <w:rsid w:val="007F49BA"/>
    <w:rsid w:val="007F5FA0"/>
    <w:rsid w:val="00861878"/>
    <w:rsid w:val="008863A7"/>
    <w:rsid w:val="00892C88"/>
    <w:rsid w:val="008A12C5"/>
    <w:rsid w:val="008D4C12"/>
    <w:rsid w:val="008D7FEF"/>
    <w:rsid w:val="008E6391"/>
    <w:rsid w:val="008F3163"/>
    <w:rsid w:val="00923379"/>
    <w:rsid w:val="00957E4F"/>
    <w:rsid w:val="009A2118"/>
    <w:rsid w:val="009E3BB6"/>
    <w:rsid w:val="009F05A7"/>
    <w:rsid w:val="00A50B58"/>
    <w:rsid w:val="00A73135"/>
    <w:rsid w:val="00A748A1"/>
    <w:rsid w:val="00AA3A2C"/>
    <w:rsid w:val="00AA580A"/>
    <w:rsid w:val="00AC2A3A"/>
    <w:rsid w:val="00AF386E"/>
    <w:rsid w:val="00AF5CE6"/>
    <w:rsid w:val="00B25948"/>
    <w:rsid w:val="00B456F1"/>
    <w:rsid w:val="00B741EB"/>
    <w:rsid w:val="00B959A1"/>
    <w:rsid w:val="00BD1E10"/>
    <w:rsid w:val="00C22DD9"/>
    <w:rsid w:val="00C8690B"/>
    <w:rsid w:val="00CB44D4"/>
    <w:rsid w:val="00D02D75"/>
    <w:rsid w:val="00D23FE9"/>
    <w:rsid w:val="00D65B69"/>
    <w:rsid w:val="00D75E26"/>
    <w:rsid w:val="00DA526D"/>
    <w:rsid w:val="00DA5B61"/>
    <w:rsid w:val="00DB5DDA"/>
    <w:rsid w:val="00E275D7"/>
    <w:rsid w:val="00E41FBB"/>
    <w:rsid w:val="00E81787"/>
    <w:rsid w:val="00EB2ABC"/>
    <w:rsid w:val="00EF1526"/>
    <w:rsid w:val="00F20BC8"/>
    <w:rsid w:val="00F25486"/>
    <w:rsid w:val="00F33798"/>
    <w:rsid w:val="00F43E82"/>
    <w:rsid w:val="00F80396"/>
    <w:rsid w:val="00F965CF"/>
    <w:rsid w:val="27916DFA"/>
    <w:rsid w:val="3F930BE5"/>
    <w:rsid w:val="4B7A5595"/>
    <w:rsid w:val="5EDCF714"/>
    <w:rsid w:val="7A2D3665"/>
    <w:rsid w:val="7DDFAC6B"/>
    <w:rsid w:val="7E6F1F4F"/>
    <w:rsid w:val="7FFF9672"/>
    <w:rsid w:val="DFFFBB02"/>
    <w:rsid w:val="FF3F0C3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Calibri"/>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5"/>
    <w:semiHidden/>
    <w:unhideWhenUsed/>
    <w:qFormat/>
    <w:uiPriority w:val="99"/>
    <w:rPr>
      <w:sz w:val="18"/>
      <w:szCs w:val="18"/>
    </w:rPr>
  </w:style>
  <w:style w:type="paragraph" w:styleId="3">
    <w:name w:val="footer"/>
    <w:basedOn w:val="1"/>
    <w:link w:val="9"/>
    <w:qFormat/>
    <w:uiPriority w:val="99"/>
    <w:pPr>
      <w:widowControl w:val="0"/>
      <w:tabs>
        <w:tab w:val="center" w:pos="4153"/>
        <w:tab w:val="right" w:pos="8306"/>
      </w:tabs>
      <w:snapToGrid w:val="0"/>
    </w:pPr>
    <w:rPr>
      <w:sz w:val="18"/>
      <w:szCs w:val="18"/>
    </w:rPr>
  </w:style>
  <w:style w:type="paragraph" w:styleId="4">
    <w:name w:val="header"/>
    <w:basedOn w:val="1"/>
    <w:link w:val="8"/>
    <w:qFormat/>
    <w:uiPriority w:val="99"/>
    <w:pPr>
      <w:widowControl w:val="0"/>
      <w:pBdr>
        <w:bottom w:val="single" w:color="auto" w:sz="6" w:space="1"/>
      </w:pBdr>
      <w:tabs>
        <w:tab w:val="center" w:pos="4153"/>
        <w:tab w:val="right" w:pos="8306"/>
      </w:tabs>
      <w:snapToGrid w:val="0"/>
      <w:jc w:val="center"/>
    </w:pPr>
    <w:rPr>
      <w:sz w:val="18"/>
      <w:szCs w:val="18"/>
    </w:rPr>
  </w:style>
  <w:style w:type="character" w:styleId="7">
    <w:name w:val="Hyperlink"/>
    <w:qFormat/>
    <w:uiPriority w:val="99"/>
    <w:rPr>
      <w:color w:val="0000FF"/>
      <w:u w:val="single"/>
    </w:rPr>
  </w:style>
  <w:style w:type="character" w:customStyle="1" w:styleId="8">
    <w:name w:val="页眉 Char"/>
    <w:link w:val="4"/>
    <w:qFormat/>
    <w:locked/>
    <w:uiPriority w:val="99"/>
    <w:rPr>
      <w:sz w:val="18"/>
      <w:szCs w:val="18"/>
    </w:rPr>
  </w:style>
  <w:style w:type="character" w:customStyle="1" w:styleId="9">
    <w:name w:val="页脚 Char"/>
    <w:link w:val="3"/>
    <w:qFormat/>
    <w:locked/>
    <w:uiPriority w:val="99"/>
    <w:rPr>
      <w:sz w:val="18"/>
      <w:szCs w:val="18"/>
    </w:rPr>
  </w:style>
  <w:style w:type="paragraph" w:styleId="10">
    <w:name w:val="List Paragraph"/>
    <w:basedOn w:val="1"/>
    <w:qFormat/>
    <w:uiPriority w:val="99"/>
    <w:pPr>
      <w:ind w:firstLine="420" w:firstLineChars="200"/>
    </w:pPr>
  </w:style>
  <w:style w:type="character" w:customStyle="1" w:styleId="11">
    <w:name w:val="find_in_page"/>
    <w:basedOn w:val="6"/>
    <w:qFormat/>
    <w:uiPriority w:val="0"/>
  </w:style>
  <w:style w:type="character" w:customStyle="1" w:styleId="12">
    <w:name w:val="c_tiao1"/>
    <w:qFormat/>
    <w:uiPriority w:val="0"/>
    <w:rPr>
      <w:rFonts w:hint="eastAsia" w:ascii="宋体" w:hAnsi="宋体" w:eastAsia="宋体"/>
      <w:b/>
      <w:bCs/>
      <w:sz w:val="24"/>
      <w:szCs w:val="24"/>
    </w:rPr>
  </w:style>
  <w:style w:type="character" w:customStyle="1" w:styleId="13">
    <w:name w:val="dt"/>
    <w:basedOn w:val="6"/>
    <w:qFormat/>
    <w:uiPriority w:val="0"/>
  </w:style>
  <w:style w:type="character" w:customStyle="1" w:styleId="14">
    <w:name w:val="sp_wt_class"/>
    <w:basedOn w:val="6"/>
    <w:qFormat/>
    <w:uiPriority w:val="0"/>
  </w:style>
  <w:style w:type="character" w:customStyle="1" w:styleId="15">
    <w:name w:val="批注框文本 Char"/>
    <w:link w:val="2"/>
    <w:semiHidden/>
    <w:qFormat/>
    <w:uiPriority w:val="99"/>
    <w:rPr>
      <w:rFonts w:cs="Calibri"/>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admin</Company>
  <Pages>4</Pages>
  <Words>229</Words>
  <Characters>1306</Characters>
  <Lines>10</Lines>
  <Paragraphs>3</Paragraphs>
  <TotalTime>3</TotalTime>
  <ScaleCrop>false</ScaleCrop>
  <LinksUpToDate>false</LinksUpToDate>
  <CharactersWithSpaces>1532</CharactersWithSpaces>
  <Application>WPS Office_11.8.2.12380_F1E327BC-269C-435d-A152-05C5408002CA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2018-11-22T17:35:00Z</dcterms:created>
  <dc:creator>郭敏君</dc:creator>
  <cp:lastModifiedBy>luoyingJ30</cp:lastModifiedBy>
  <cp:lastPrinted>2023-07-24T16:01:00Z</cp:lastPrinted>
  <dcterms:modified xsi:type="dcterms:W3CDTF">2025-12-29T15:40:13Z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2052-11.8.2.12380</vt:lpwstr>
  </property>
  <property fmtid="{D5CDD505-2E9C-101B-9397-08002B2CF9AE}" pid="3" name="ICV">
    <vt:lpwstr>26E28800B7FD477F30305269FA64D22B</vt:lpwstr>
  </property>
</Properties>
</file>