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45" w:line="235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（国有土地上房屋征收决定）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□撤销国有土地上房屋征收决定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19"/>
            </w:pPr>
            <w:r>
              <w:rPr>
                <w:color w:val="231F20"/>
                <w:spacing w:val="-2"/>
              </w:rPr>
              <w:t>1. 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6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4"/>
            </w:pPr>
            <w:r>
              <w:rPr>
                <w:color w:val="231F20"/>
                <w:spacing w:val="-1"/>
              </w:rPr>
              <w:t>2. 原告知道被告作出房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房屋征收决定是否存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45" w:line="235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（国有土地上房屋征收决定）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区人民政府</w:t>
            </w:r>
          </w:p>
          <w:p>
            <w:pPr>
              <w:pStyle w:val="6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王  ××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撤销国有土地上房屋征收决定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被诉征收决定不符合法律规定的作出条件和程序。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19"/>
            </w:pPr>
            <w:r>
              <w:rPr>
                <w:color w:val="231F20"/>
                <w:spacing w:val="-2"/>
              </w:rPr>
              <w:t>1. 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府征〔2022〕× 号房屋征收决定</w:t>
            </w:r>
          </w:p>
          <w:p>
            <w:pPr>
              <w:pStyle w:val="6"/>
              <w:spacing w:before="42" w:line="215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2. 原告知道被告作出房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房屋征收决定是否存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50" w:lineRule="auto"/>
              <w:ind w:left="89" w:right="90" w:firstLine="10"/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7"/>
              </w:rPr>
              <w:t xml:space="preserve">是    具体情形：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区政府将案涉房屋作为旧房、危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房纳入旧城区改建范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围错误，没有证据证明该地块纳入了国民经济和社会发展年度计划。征收决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定未依法公示，补偿方案征求意见稿亦仅张贴于居委会办公室。听证会的召开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违背公开原则。补偿方案修改稿公示未满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日，违反法律规定。资金未做到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专户存储、专款专用、足额到位。没有证据显示风险评估报告已经政府审核。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□否</w:t>
            </w:r>
          </w:p>
        </w:tc>
      </w:tr>
    </w:tbl>
    <w:p>
      <w:pPr>
        <w:pStyle w:val="2"/>
        <w:spacing w:line="232" w:lineRule="exact"/>
        <w:rPr>
          <w:sz w:val="20"/>
        </w:rPr>
      </w:pPr>
    </w:p>
    <w:p>
      <w:pPr>
        <w:spacing w:line="232" w:lineRule="exact"/>
        <w:rPr>
          <w:sz w:val="20"/>
          <w:szCs w:val="2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是    列明案号、时间、受理机关、处理结果等</w:t>
            </w:r>
            <w:r>
              <w:rPr>
                <w:color w:val="231F20"/>
                <w:spacing w:val="-4"/>
              </w:rPr>
              <w:t>具体情况：</w:t>
            </w:r>
          </w:p>
          <w:p>
            <w:pPr>
              <w:spacing w:before="42" w:line="267" w:lineRule="auto"/>
              <w:ind w:left="714" w:right="79" w:firstLine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  日，×× 市政府  × 府复字〔2022〕第  ×× 号行政复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议决定维持被诉房屋征收决定。</w:t>
            </w:r>
          </w:p>
          <w:p>
            <w:pPr>
              <w:pStyle w:val="6"/>
              <w:spacing w:before="37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36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103"/>
            </w:pPr>
            <w:r>
              <w:rPr>
                <w:color w:val="231F20"/>
                <w:spacing w:val="-3"/>
              </w:rPr>
              <w:t>1. 征收决定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征收决定不合法的证明材料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0" w:name="_GoBack"/>
      <w:bookmarkEnd w:id="0"/>
    </w:p>
    <w:sectPr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FE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53EA643996B55F6051B574686D6CFC97</vt:lpwstr>
  </property>
</Properties>
</file>