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1C2F0">
      <w:pPr>
        <w:pStyle w:val="2"/>
        <w:spacing w:line="242" w:lineRule="auto"/>
      </w:pPr>
      <w:bookmarkStart w:id="2" w:name="_GoBack"/>
      <w:bookmarkEnd w:id="2"/>
    </w:p>
    <w:p w14:paraId="3EC2C84C">
      <w:pPr>
        <w:pStyle w:val="2"/>
        <w:spacing w:line="242" w:lineRule="auto"/>
      </w:pPr>
    </w:p>
    <w:p w14:paraId="2107DEE2">
      <w:pPr>
        <w:pStyle w:val="2"/>
        <w:spacing w:line="243" w:lineRule="auto"/>
      </w:pPr>
    </w:p>
    <w:p w14:paraId="7ECB8FAF">
      <w:pPr>
        <w:pStyle w:val="2"/>
        <w:spacing w:line="243" w:lineRule="auto"/>
      </w:pPr>
    </w:p>
    <w:p w14:paraId="2A273A2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2901F1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46"/>
      <w:bookmarkEnd w:id="0"/>
      <w:bookmarkStart w:id="1" w:name="bookmark274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B82B4A0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3244D0A9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1085"/>
        <w:gridCol w:w="2402"/>
        <w:gridCol w:w="1167"/>
        <w:gridCol w:w="3505"/>
      </w:tblGrid>
      <w:tr w14:paraId="45843A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DB9F8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459383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599C9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A10832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608400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ABEE5A2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FCCD4AB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68378B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13ADD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7014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1185" w:type="dxa"/>
            <w:tcBorders>
              <w:left w:val="single" w:color="231F20" w:sz="4" w:space="0"/>
            </w:tcBorders>
            <w:noWrap w:val="0"/>
            <w:vAlign w:val="top"/>
          </w:tcPr>
          <w:p w14:paraId="32589582">
            <w:pPr>
              <w:pStyle w:val="8"/>
              <w:spacing w:before="86" w:line="208" w:lineRule="auto"/>
              <w:ind w:left="38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87" w:type="dxa"/>
            <w:gridSpan w:val="2"/>
            <w:noWrap w:val="0"/>
            <w:vAlign w:val="top"/>
          </w:tcPr>
          <w:p w14:paraId="1A404373">
            <w:pPr>
              <w:spacing w:before="80" w:line="230" w:lineRule="auto"/>
              <w:ind w:left="1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（2021）桂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 w14:paraId="76A4AD8B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36790162">
            <w:pPr>
              <w:spacing w:before="80" w:line="228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房屋租赁合同纠纷</w:t>
            </w:r>
          </w:p>
        </w:tc>
      </w:tr>
      <w:tr w14:paraId="5ABC8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8C1BC2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F780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ABE5981">
            <w:pPr>
              <w:spacing w:line="241" w:lineRule="auto"/>
              <w:rPr>
                <w:rFonts w:ascii="Arial"/>
                <w:sz w:val="21"/>
              </w:rPr>
            </w:pPr>
          </w:p>
          <w:p w14:paraId="6298431D">
            <w:pPr>
              <w:spacing w:line="241" w:lineRule="auto"/>
              <w:rPr>
                <w:rFonts w:ascii="Arial"/>
                <w:sz w:val="21"/>
              </w:rPr>
            </w:pPr>
          </w:p>
          <w:p w14:paraId="2BEC62F1">
            <w:pPr>
              <w:spacing w:line="241" w:lineRule="auto"/>
              <w:rPr>
                <w:rFonts w:ascii="Arial"/>
                <w:sz w:val="21"/>
              </w:rPr>
            </w:pPr>
          </w:p>
          <w:p w14:paraId="30CD68C2">
            <w:pPr>
              <w:spacing w:line="241" w:lineRule="auto"/>
              <w:rPr>
                <w:rFonts w:ascii="Arial"/>
                <w:sz w:val="21"/>
              </w:rPr>
            </w:pPr>
          </w:p>
          <w:p w14:paraId="58626E4D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DD8EF4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254F5C3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E72D07A">
            <w:pPr>
              <w:pStyle w:val="8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52A5A1F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0AD5011">
            <w:pPr>
              <w:pStyle w:val="8"/>
              <w:spacing w:before="4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CB17AE8">
            <w:pPr>
              <w:pStyle w:val="8"/>
              <w:spacing w:before="40" w:line="22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CB465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1380091">
            <w:pPr>
              <w:spacing w:line="270" w:lineRule="auto"/>
              <w:rPr>
                <w:rFonts w:ascii="Arial"/>
                <w:sz w:val="21"/>
              </w:rPr>
            </w:pPr>
          </w:p>
          <w:p w14:paraId="32446B75">
            <w:pPr>
              <w:spacing w:line="270" w:lineRule="auto"/>
              <w:rPr>
                <w:rFonts w:ascii="Arial"/>
                <w:sz w:val="21"/>
              </w:rPr>
            </w:pPr>
          </w:p>
          <w:p w14:paraId="2B1226CE">
            <w:pPr>
              <w:spacing w:line="270" w:lineRule="auto"/>
              <w:rPr>
                <w:rFonts w:ascii="Arial"/>
                <w:sz w:val="21"/>
              </w:rPr>
            </w:pPr>
          </w:p>
          <w:p w14:paraId="2D6A26C4">
            <w:pPr>
              <w:spacing w:line="270" w:lineRule="auto"/>
              <w:rPr>
                <w:rFonts w:ascii="Arial"/>
                <w:sz w:val="21"/>
              </w:rPr>
            </w:pPr>
          </w:p>
          <w:p w14:paraId="0761218D">
            <w:pPr>
              <w:spacing w:line="270" w:lineRule="auto"/>
              <w:rPr>
                <w:rFonts w:ascii="Arial"/>
                <w:sz w:val="21"/>
              </w:rPr>
            </w:pPr>
          </w:p>
          <w:p w14:paraId="4FF3CD84">
            <w:pPr>
              <w:spacing w:line="270" w:lineRule="auto"/>
              <w:rPr>
                <w:rFonts w:ascii="Arial"/>
                <w:sz w:val="21"/>
              </w:rPr>
            </w:pPr>
          </w:p>
          <w:p w14:paraId="3119A5D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6C68838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306B126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广西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投资管理有限公司</w:t>
            </w:r>
          </w:p>
          <w:p w14:paraId="75A684F1">
            <w:pPr>
              <w:pStyle w:val="8"/>
              <w:spacing w:before="21" w:line="239" w:lineRule="auto"/>
              <w:ind w:left="88" w:right="16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2"/>
              </w:rPr>
              <w:t>住所地（主要办事机构所在地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广西壮族自治区南宁市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54761F6">
            <w:pPr>
              <w:pStyle w:val="8"/>
              <w:spacing w:before="16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500CCF9F">
            <w:pPr>
              <w:pStyle w:val="8"/>
              <w:spacing w:before="2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269F41D">
            <w:pPr>
              <w:pStyle w:val="8"/>
              <w:spacing w:before="18" w:line="22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9820E21">
            <w:pPr>
              <w:pStyle w:val="8"/>
              <w:spacing w:before="1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931F315">
            <w:pPr>
              <w:pStyle w:val="8"/>
              <w:spacing w:before="4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1B18E2D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0112784">
            <w:pPr>
              <w:pStyle w:val="8"/>
              <w:spacing w:before="45" w:line="210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3DFD70F2">
      <w:pPr>
        <w:pStyle w:val="2"/>
      </w:pPr>
    </w:p>
    <w:p w14:paraId="0265673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B5B146">
      <w:pPr>
        <w:spacing w:before="41"/>
      </w:pPr>
    </w:p>
    <w:p w14:paraId="75480BC9">
      <w:pPr>
        <w:spacing w:before="41"/>
      </w:pPr>
    </w:p>
    <w:p w14:paraId="1DD4337F">
      <w:pPr>
        <w:spacing w:before="41"/>
      </w:pPr>
    </w:p>
    <w:p w14:paraId="5BB60B6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1AEA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A2CB3E">
            <w:pPr>
              <w:spacing w:line="284" w:lineRule="auto"/>
              <w:rPr>
                <w:rFonts w:ascii="Arial"/>
                <w:sz w:val="21"/>
              </w:rPr>
            </w:pPr>
          </w:p>
          <w:p w14:paraId="2849D77E">
            <w:pPr>
              <w:spacing w:line="284" w:lineRule="auto"/>
              <w:rPr>
                <w:rFonts w:ascii="Arial"/>
                <w:sz w:val="21"/>
              </w:rPr>
            </w:pPr>
          </w:p>
          <w:p w14:paraId="5FD4E78F">
            <w:pPr>
              <w:spacing w:line="284" w:lineRule="auto"/>
              <w:rPr>
                <w:rFonts w:ascii="Arial"/>
                <w:sz w:val="21"/>
              </w:rPr>
            </w:pPr>
          </w:p>
          <w:p w14:paraId="6E7B4CF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2469D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C1AD503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67523C9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广西× 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768A896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027F1AC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4FA8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8D343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449E82D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48C7E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9CF178">
            <w:pPr>
              <w:spacing w:before="79" w:line="228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未依约提供能够正常使用的房屋，其诉讼请求不成立。</w:t>
            </w:r>
          </w:p>
        </w:tc>
      </w:tr>
      <w:tr w14:paraId="3F8CDD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0072A4">
            <w:pPr>
              <w:pStyle w:val="8"/>
              <w:spacing w:before="251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29F5AD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39F74A">
            <w:pPr>
              <w:pStyle w:val="8"/>
              <w:spacing w:before="73" w:line="213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日，阙  ×× 也存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在违约行为，租金应减免。</w:t>
            </w:r>
          </w:p>
        </w:tc>
      </w:tr>
      <w:tr w14:paraId="7B272F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5D64D">
            <w:pPr>
              <w:pStyle w:val="8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6A352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2C9B12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违约在先，违约金不应支付</w:t>
            </w:r>
          </w:p>
        </w:tc>
      </w:tr>
      <w:tr w14:paraId="7B7C81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E64180">
            <w:pPr>
              <w:pStyle w:val="8"/>
              <w:spacing w:before="252" w:line="262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DB8F2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AB0224">
            <w:pPr>
              <w:pStyle w:val="8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案涉房屋未取得建设工程规划许可证，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工程未竣工验收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合格；公司长期处于无法正常使用房屋的状态。</w:t>
            </w:r>
          </w:p>
        </w:tc>
      </w:tr>
      <w:tr w14:paraId="316BC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CAABC4">
            <w:pPr>
              <w:pStyle w:val="8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E63A1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AC0CC8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阙  ×× 违约在先，不享有单方解除权。</w:t>
            </w:r>
          </w:p>
        </w:tc>
      </w:tr>
      <w:tr w14:paraId="1031F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DC6641">
            <w:pPr>
              <w:pStyle w:val="8"/>
              <w:spacing w:before="88" w:line="236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17483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A8C2F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6F56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6B71F1">
            <w:pPr>
              <w:pStyle w:val="8"/>
              <w:spacing w:before="97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5E8D8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24FB48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不同意支付律师费用。</w:t>
            </w:r>
          </w:p>
        </w:tc>
      </w:tr>
      <w:tr w14:paraId="23A47F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07DF1">
            <w:pPr>
              <w:pStyle w:val="8"/>
              <w:spacing w:before="97"/>
              <w:ind w:left="85" w:right="84" w:hanging="1"/>
            </w:pPr>
            <w:r>
              <w:rPr>
                <w:color w:val="231F20"/>
                <w:spacing w:val="-1"/>
              </w:rPr>
              <w:t>7. 对诉讼费的负担有无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F81DF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E714CE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由阙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负担。</w:t>
            </w:r>
          </w:p>
        </w:tc>
      </w:tr>
      <w:tr w14:paraId="516CA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BAACAE">
            <w:pPr>
              <w:pStyle w:val="8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8449F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949C9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266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0D97FE">
            <w:pPr>
              <w:pStyle w:val="8"/>
              <w:spacing w:before="26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F8CA2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B017BD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不应支付该数额</w:t>
            </w:r>
          </w:p>
        </w:tc>
      </w:tr>
      <w:tr w14:paraId="285E5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399E6E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E0472C4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14250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97A175">
            <w:pPr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月起房屋才能正常使用，阙  ×× 违约在先，应减少租金。</w:t>
            </w:r>
          </w:p>
        </w:tc>
      </w:tr>
      <w:tr w14:paraId="3A0066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0A601C">
            <w:pPr>
              <w:pStyle w:val="8"/>
              <w:spacing w:before="87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2E567E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A3DDA4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1FA6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14DB14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CEA03B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16DBB6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0BE9E75">
      <w:pPr>
        <w:pStyle w:val="2"/>
      </w:pPr>
    </w:p>
    <w:p w14:paraId="7F2C2673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FDC2A6">
      <w:pPr>
        <w:spacing w:before="41"/>
      </w:pPr>
    </w:p>
    <w:p w14:paraId="5E5B3CF4">
      <w:pPr>
        <w:spacing w:before="41"/>
      </w:pPr>
    </w:p>
    <w:p w14:paraId="7CDB6934">
      <w:pPr>
        <w:spacing w:before="41"/>
      </w:pPr>
    </w:p>
    <w:p w14:paraId="2EFE9F0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6A7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6609A9">
            <w:pPr>
              <w:pStyle w:val="8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89EF50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78B2AD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E43F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9EA483">
            <w:pPr>
              <w:pStyle w:val="8"/>
              <w:spacing w:before="83" w:line="238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75C47F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3A680F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82D99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C3E1BB">
            <w:pPr>
              <w:pStyle w:val="8"/>
              <w:spacing w:before="94" w:line="241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60C1A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F0E1BC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租金起算时间应为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日。</w:t>
            </w:r>
          </w:p>
        </w:tc>
      </w:tr>
      <w:tr w14:paraId="5C1E09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D43DCB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D0E4FE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6660C6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F4C56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63794A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7DAD5C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3D2975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36B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6CDD8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45C18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DB9DA2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BFE6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473F8">
            <w:pPr>
              <w:pStyle w:val="8"/>
              <w:spacing w:before="94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EB16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D0B06C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月起房屋才能够正常使用，此时才交付。</w:t>
            </w:r>
          </w:p>
        </w:tc>
      </w:tr>
      <w:tr w14:paraId="742581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A74670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EF4026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9569FE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8B95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800942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536FD1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216431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284D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D291E">
            <w:pPr>
              <w:pStyle w:val="8"/>
              <w:spacing w:before="95" w:line="241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39C91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B9B470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租金支付起算时间为 2017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21  日，数额有异议。</w:t>
            </w:r>
          </w:p>
        </w:tc>
      </w:tr>
      <w:tr w14:paraId="20420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224A45">
            <w:pPr>
              <w:pStyle w:val="8"/>
              <w:spacing w:before="96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84F55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F75CAB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阙  ×× 存在违约行为在先，应减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少租金。</w:t>
            </w:r>
          </w:p>
        </w:tc>
      </w:tr>
      <w:tr w14:paraId="093815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965A8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3002FD"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5A99C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88A34E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B0BBC">
            <w:pPr>
              <w:pStyle w:val="8"/>
              <w:spacing w:before="83" w:line="238" w:lineRule="auto"/>
              <w:ind w:left="84" w:right="1841" w:hanging="1"/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《房屋租赁合同》第三条、第四条、第十一条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 w14:paraId="62E9E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0DCFBA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CC4AB4">
            <w:pPr>
              <w:rPr>
                <w:rFonts w:ascii="Arial"/>
                <w:sz w:val="21"/>
              </w:rPr>
            </w:pPr>
          </w:p>
        </w:tc>
      </w:tr>
      <w:tr w14:paraId="1CB59D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947636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B782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022B6B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00CCA">
            <w:pPr>
              <w:spacing w:line="260" w:lineRule="auto"/>
              <w:rPr>
                <w:rFonts w:ascii="Arial"/>
                <w:sz w:val="21"/>
              </w:rPr>
            </w:pPr>
          </w:p>
          <w:p w14:paraId="27AC9F66">
            <w:pPr>
              <w:spacing w:line="260" w:lineRule="auto"/>
              <w:rPr>
                <w:rFonts w:ascii="Arial"/>
                <w:sz w:val="21"/>
              </w:rPr>
            </w:pPr>
          </w:p>
          <w:p w14:paraId="358417C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38CD349">
      <w:pPr>
        <w:pStyle w:val="2"/>
      </w:pPr>
    </w:p>
    <w:p w14:paraId="3276463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0712445">
      <w:pPr>
        <w:spacing w:before="41"/>
      </w:pPr>
    </w:p>
    <w:p w14:paraId="30D29FCE">
      <w:pPr>
        <w:spacing w:before="41"/>
      </w:pPr>
    </w:p>
    <w:p w14:paraId="6F673D49">
      <w:pPr>
        <w:spacing w:before="41"/>
      </w:pPr>
    </w:p>
    <w:p w14:paraId="5846972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83A73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BF807">
            <w:pPr>
              <w:spacing w:line="263" w:lineRule="auto"/>
              <w:rPr>
                <w:rFonts w:ascii="Arial"/>
                <w:sz w:val="21"/>
              </w:rPr>
            </w:pPr>
          </w:p>
          <w:p w14:paraId="2895B4A6">
            <w:pPr>
              <w:spacing w:line="263" w:lineRule="auto"/>
              <w:rPr>
                <w:rFonts w:ascii="Arial"/>
                <w:sz w:val="21"/>
              </w:rPr>
            </w:pPr>
          </w:p>
          <w:p w14:paraId="1B65AAD8">
            <w:pPr>
              <w:spacing w:line="263" w:lineRule="auto"/>
              <w:rPr>
                <w:rFonts w:ascii="Arial"/>
                <w:sz w:val="21"/>
              </w:rPr>
            </w:pPr>
          </w:p>
          <w:p w14:paraId="4BCD9F4D">
            <w:pPr>
              <w:spacing w:line="264" w:lineRule="auto"/>
              <w:rPr>
                <w:rFonts w:ascii="Arial"/>
                <w:sz w:val="21"/>
              </w:rPr>
            </w:pPr>
          </w:p>
          <w:p w14:paraId="0F58AF07">
            <w:pPr>
              <w:spacing w:line="264" w:lineRule="auto"/>
              <w:rPr>
                <w:rFonts w:ascii="Arial"/>
                <w:sz w:val="21"/>
              </w:rPr>
            </w:pPr>
          </w:p>
          <w:p w14:paraId="40E25671">
            <w:pPr>
              <w:spacing w:line="264" w:lineRule="auto"/>
              <w:rPr>
                <w:rFonts w:ascii="Arial"/>
                <w:sz w:val="21"/>
              </w:rPr>
            </w:pPr>
          </w:p>
          <w:p w14:paraId="7B573066">
            <w:pPr>
              <w:spacing w:line="264" w:lineRule="auto"/>
              <w:rPr>
                <w:rFonts w:ascii="Arial"/>
                <w:sz w:val="21"/>
              </w:rPr>
            </w:pPr>
          </w:p>
          <w:p w14:paraId="718C1530">
            <w:pPr>
              <w:spacing w:line="264" w:lineRule="auto"/>
              <w:rPr>
                <w:rFonts w:ascii="Arial"/>
                <w:sz w:val="21"/>
              </w:rPr>
            </w:pPr>
          </w:p>
          <w:p w14:paraId="338E5EDC">
            <w:pPr>
              <w:spacing w:line="264" w:lineRule="auto"/>
              <w:rPr>
                <w:rFonts w:ascii="Arial"/>
                <w:sz w:val="21"/>
              </w:rPr>
            </w:pPr>
          </w:p>
          <w:p w14:paraId="7F0E4A67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92DA1A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A148D9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3D089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BDB2B8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D1F44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7EC53D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FC929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64EC69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6A116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02D5A8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A775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2CD313E">
            <w:pPr>
              <w:spacing w:line="352" w:lineRule="auto"/>
              <w:rPr>
                <w:rFonts w:ascii="Arial"/>
                <w:sz w:val="21"/>
              </w:rPr>
            </w:pPr>
          </w:p>
          <w:p w14:paraId="2281DE9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7BD769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DC719D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0644C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5085" w:hanging="3951"/>
        <w:textAlignment w:val="baseline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广西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投资管理有限公司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5FB3D68E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A8E93A4-1CDA-459C-9D3D-5D09475F98C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A1C4C6F-3713-4D3B-A0A9-84A1EE692B8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272D7A9-BCE3-4E9A-BF34-E739DACE78D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C1511028-6D13-4D2C-A355-F562B642A86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A8846A8-875B-40EB-9ACF-596F5F162A91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D61B9443-F9F5-4838-AC7D-3FE266D178D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D5B5DD91-990F-418F-A568-43CFF98FE95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96D7F8AE-DDC2-456A-A628-7FD4716F7F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E9C3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099E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4871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1142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39341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54D1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D57A63"/>
    <w:rsid w:val="1BB82A97"/>
    <w:rsid w:val="1DAE4148"/>
    <w:rsid w:val="24030E99"/>
    <w:rsid w:val="252437BD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5EC502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BE66364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2159</Words>
  <Characters>2224</Characters>
  <TotalTime>57</TotalTime>
  <ScaleCrop>false</ScaleCrop>
  <LinksUpToDate>false</LinksUpToDate>
  <CharactersWithSpaces>2757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00362ADB7F824A8F9E8297DA7EA93205_13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