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DA347">
      <w:pPr>
        <w:pStyle w:val="2"/>
        <w:spacing w:line="242" w:lineRule="auto"/>
      </w:pPr>
      <w:bookmarkStart w:id="2" w:name="_GoBack"/>
      <w:bookmarkEnd w:id="2"/>
    </w:p>
    <w:p w14:paraId="2214FCE9">
      <w:pPr>
        <w:pStyle w:val="2"/>
        <w:spacing w:line="242" w:lineRule="auto"/>
      </w:pPr>
    </w:p>
    <w:p w14:paraId="46EDA958">
      <w:pPr>
        <w:pStyle w:val="2"/>
        <w:spacing w:line="243" w:lineRule="auto"/>
      </w:pPr>
    </w:p>
    <w:p w14:paraId="3F9A2FE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A2625B7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58"/>
      <w:bookmarkEnd w:id="0"/>
      <w:bookmarkStart w:id="1" w:name="bookmark287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0E8384FA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（物业服务合同纠纷）</w:t>
      </w:r>
    </w:p>
    <w:p w14:paraId="766ADBB6">
      <w:pPr>
        <w:spacing w:line="222" w:lineRule="exact"/>
      </w:pPr>
    </w:p>
    <w:tbl>
      <w:tblPr>
        <w:tblStyle w:val="7"/>
        <w:tblW w:w="933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42"/>
        <w:gridCol w:w="2132"/>
        <w:gridCol w:w="1019"/>
        <w:gridCol w:w="3917"/>
      </w:tblGrid>
      <w:tr w14:paraId="42DCE4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3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D3CEB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42EB829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61C7F48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B2AEEE7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A8D8AD2">
            <w:pPr>
              <w:pStyle w:val="8"/>
              <w:spacing w:before="43" w:line="239" w:lineRule="auto"/>
              <w:ind w:left="85" w:right="89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</w:t>
            </w:r>
            <w:r>
              <w:rPr>
                <w:color w:val="231F20"/>
                <w:spacing w:val="2"/>
              </w:rPr>
              <w:t>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A425634">
            <w:pPr>
              <w:pStyle w:val="8"/>
              <w:spacing w:before="14" w:line="235" w:lineRule="auto"/>
              <w:ind w:left="86" w:right="10" w:firstLine="409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</w:t>
            </w:r>
            <w:r>
              <w:rPr>
                <w:color w:val="231F20"/>
                <w:spacing w:val="4"/>
              </w:rPr>
              <w:t>据实际情况复制粘贴；需填写文字较多时，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C256C69">
            <w:pPr>
              <w:pStyle w:val="8"/>
              <w:spacing w:before="4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8A4A222">
            <w:pPr>
              <w:pStyle w:val="8"/>
              <w:spacing w:before="4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DE8C5D9">
            <w:pPr>
              <w:pStyle w:val="8"/>
              <w:spacing w:before="46" w:line="230" w:lineRule="auto"/>
              <w:ind w:left="84" w:right="76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9D1A9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2208F749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374" w:type="dxa"/>
            <w:gridSpan w:val="2"/>
            <w:noWrap w:val="0"/>
            <w:vAlign w:val="top"/>
          </w:tcPr>
          <w:p w14:paraId="26584EA3">
            <w:pPr>
              <w:spacing w:before="80" w:line="230" w:lineRule="auto"/>
              <w:ind w:left="5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（2024）京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019" w:type="dxa"/>
            <w:noWrap w:val="0"/>
            <w:vAlign w:val="top"/>
          </w:tcPr>
          <w:p w14:paraId="22D078C2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917" w:type="dxa"/>
            <w:tcBorders>
              <w:right w:val="single" w:color="231F20" w:sz="4" w:space="0"/>
            </w:tcBorders>
            <w:noWrap w:val="0"/>
            <w:vAlign w:val="top"/>
          </w:tcPr>
          <w:p w14:paraId="61F35F55">
            <w:pPr>
              <w:spacing w:before="80" w:line="230" w:lineRule="auto"/>
              <w:ind w:left="11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物业服务合同纠纷</w:t>
            </w:r>
          </w:p>
        </w:tc>
      </w:tr>
      <w:tr w14:paraId="0F7EBE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A7DC4C">
            <w:pPr>
              <w:spacing w:before="83" w:line="192" w:lineRule="auto"/>
              <w:ind w:left="392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36697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66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23A290C">
            <w:pPr>
              <w:spacing w:line="297" w:lineRule="auto"/>
              <w:rPr>
                <w:rFonts w:ascii="Arial"/>
                <w:sz w:val="21"/>
              </w:rPr>
            </w:pPr>
          </w:p>
          <w:p w14:paraId="11DE0A33">
            <w:pPr>
              <w:spacing w:line="297" w:lineRule="auto"/>
              <w:rPr>
                <w:rFonts w:ascii="Arial"/>
                <w:sz w:val="21"/>
              </w:rPr>
            </w:pPr>
          </w:p>
          <w:p w14:paraId="1DD379CF">
            <w:pPr>
              <w:spacing w:line="298" w:lineRule="auto"/>
              <w:rPr>
                <w:rFonts w:ascii="Arial"/>
                <w:sz w:val="21"/>
              </w:rPr>
            </w:pPr>
          </w:p>
          <w:p w14:paraId="312C5A90">
            <w:pPr>
              <w:spacing w:line="298" w:lineRule="auto"/>
              <w:rPr>
                <w:rFonts w:ascii="Arial"/>
                <w:sz w:val="21"/>
              </w:rPr>
            </w:pPr>
          </w:p>
          <w:p w14:paraId="28FFC0A2">
            <w:pPr>
              <w:pStyle w:val="8"/>
              <w:spacing w:before="78" w:line="263" w:lineRule="auto"/>
              <w:ind w:left="593" w:right="598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8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94B1BDD">
            <w:pPr>
              <w:pStyle w:val="8"/>
              <w:spacing w:before="88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E24915D">
            <w:pPr>
              <w:pStyle w:val="8"/>
              <w:spacing w:before="78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219D3C48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2149D916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3D0D1BAB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81E35A5">
            <w:pPr>
              <w:pStyle w:val="8"/>
              <w:spacing w:before="38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北京市西城区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号</w:t>
            </w:r>
          </w:p>
          <w:p w14:paraId="724EB8C9">
            <w:pPr>
              <w:pStyle w:val="8"/>
              <w:spacing w:before="46" w:line="20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15D984BF">
            <w:pPr>
              <w:pStyle w:val="8"/>
              <w:spacing w:before="62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E29A58E">
            <w:pPr>
              <w:pStyle w:val="8"/>
              <w:spacing w:before="44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DA867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66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AF6400D">
            <w:pPr>
              <w:spacing w:line="346" w:lineRule="auto"/>
              <w:rPr>
                <w:rFonts w:ascii="Arial"/>
                <w:sz w:val="21"/>
              </w:rPr>
            </w:pPr>
          </w:p>
          <w:p w14:paraId="0D1ED839">
            <w:pPr>
              <w:spacing w:line="347" w:lineRule="auto"/>
              <w:rPr>
                <w:rFonts w:ascii="Arial"/>
                <w:sz w:val="21"/>
              </w:rPr>
            </w:pPr>
          </w:p>
          <w:p w14:paraId="253D2E94">
            <w:pPr>
              <w:pStyle w:val="8"/>
              <w:spacing w:before="79" w:line="209" w:lineRule="auto"/>
              <w:ind w:left="398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68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9974B19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64E9D46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7257B869">
            <w:pPr>
              <w:pStyle w:val="8"/>
              <w:spacing w:before="62" w:line="239" w:lineRule="auto"/>
              <w:ind w:left="504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4AB10A8D">
            <w:pPr>
              <w:pStyle w:val="8"/>
              <w:spacing w:before="32" w:line="216" w:lineRule="auto"/>
              <w:ind w:left="83" w:right="994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5197C8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3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12F840">
            <w:pPr>
              <w:spacing w:before="91" w:line="168" w:lineRule="auto"/>
              <w:ind w:left="40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7685DFD">
            <w:pPr>
              <w:spacing w:line="225" w:lineRule="auto"/>
              <w:ind w:left="297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1DFE27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3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F47ADF">
            <w:pPr>
              <w:spacing w:before="83" w:line="228" w:lineRule="auto"/>
              <w:ind w:left="9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××× 物业管理有限公司提供的物业服务严重不达标，其诉讼请求应予驳回</w:t>
            </w:r>
          </w:p>
        </w:tc>
      </w:tr>
      <w:tr w14:paraId="7D85A7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66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687292B">
            <w:pPr>
              <w:pStyle w:val="8"/>
              <w:spacing w:before="270" w:line="207" w:lineRule="auto"/>
              <w:ind w:left="102"/>
            </w:pPr>
            <w:r>
              <w:rPr>
                <w:color w:val="231F20"/>
                <w:spacing w:val="-2"/>
              </w:rPr>
              <w:t>1. 对物业费有无异议</w:t>
            </w:r>
          </w:p>
        </w:tc>
        <w:tc>
          <w:tcPr>
            <w:tcW w:w="7068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D4669B8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4E552E7F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原告提供的物业服务不达标，物业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费应打折收取。</w:t>
            </w:r>
          </w:p>
        </w:tc>
      </w:tr>
    </w:tbl>
    <w:p w14:paraId="60635DF7">
      <w:pPr>
        <w:pStyle w:val="2"/>
      </w:pPr>
    </w:p>
    <w:p w14:paraId="1ADF6A96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5D9A8CD">
      <w:pPr>
        <w:spacing w:before="41"/>
      </w:pPr>
    </w:p>
    <w:p w14:paraId="62879D94">
      <w:pPr>
        <w:spacing w:before="41"/>
      </w:pPr>
    </w:p>
    <w:tbl>
      <w:tblPr>
        <w:tblStyle w:val="7"/>
        <w:tblW w:w="933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6"/>
        <w:gridCol w:w="7068"/>
      </w:tblGrid>
      <w:tr w14:paraId="7EB6DB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464835AD">
            <w:pPr>
              <w:spacing w:line="349" w:lineRule="auto"/>
              <w:rPr>
                <w:rFonts w:ascii="Arial"/>
                <w:sz w:val="21"/>
              </w:rPr>
            </w:pPr>
          </w:p>
          <w:p w14:paraId="3D5786D7">
            <w:pPr>
              <w:pStyle w:val="8"/>
              <w:spacing w:before="78" w:line="206" w:lineRule="auto"/>
              <w:ind w:left="85"/>
            </w:pPr>
            <w:r>
              <w:rPr>
                <w:color w:val="231F20"/>
                <w:spacing w:val="-1"/>
              </w:rPr>
              <w:t>2. 对违约金有无异议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74D390ED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54A80481">
            <w:pPr>
              <w:pStyle w:val="8"/>
              <w:spacing w:before="71" w:line="214" w:lineRule="auto"/>
              <w:ind w:left="91" w:right="83" w:hanging="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：不是恶意拖欠物业服务费，而是希望通过这种方式促进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物业公司改进服务。</w:t>
            </w:r>
          </w:p>
        </w:tc>
      </w:tr>
      <w:tr w14:paraId="3842D0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30AB14C3">
            <w:pPr>
              <w:pStyle w:val="8"/>
              <w:spacing w:before="95" w:line="241" w:lineRule="auto"/>
              <w:ind w:left="82" w:right="84" w:firstLine="6"/>
            </w:pPr>
            <w:r>
              <w:rPr>
                <w:color w:val="231F20"/>
                <w:spacing w:val="17"/>
              </w:rPr>
              <w:t>3. 对诉讼费的负担有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43E2D967">
            <w:pPr>
              <w:pStyle w:val="8"/>
              <w:spacing w:before="91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5BBF2EE4">
            <w:pPr>
              <w:pStyle w:val="8"/>
              <w:spacing w:before="73" w:line="179" w:lineRule="auto"/>
              <w:ind w:left="84"/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诉讼费应当原告负担或者双方分担</w:t>
            </w:r>
            <w:r>
              <w:rPr>
                <w:color w:val="231F20"/>
                <w:spacing w:val="-2"/>
              </w:rPr>
              <w:t>。</w:t>
            </w:r>
          </w:p>
        </w:tc>
      </w:tr>
      <w:tr w14:paraId="6EAC32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0E6C4EA9">
            <w:pPr>
              <w:pStyle w:val="8"/>
              <w:spacing w:before="252" w:line="210" w:lineRule="auto"/>
              <w:ind w:left="82"/>
            </w:pPr>
            <w:r>
              <w:rPr>
                <w:color w:val="231F20"/>
                <w:spacing w:val="-3"/>
              </w:rPr>
              <w:t>4. 对其他请求有无异议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6266C990">
            <w:pPr>
              <w:pStyle w:val="8"/>
              <w:spacing w:before="101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E64F49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39A22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2E5DDBD8">
            <w:pPr>
              <w:spacing w:line="344" w:lineRule="auto"/>
              <w:rPr>
                <w:rFonts w:ascii="Arial"/>
                <w:sz w:val="21"/>
              </w:rPr>
            </w:pPr>
          </w:p>
          <w:p w14:paraId="5558E36E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3"/>
              </w:rPr>
              <w:t>5. 对标的总额有无异议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09256915">
            <w:pPr>
              <w:pStyle w:val="8"/>
              <w:spacing w:before="91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57FC2E9D">
            <w:pPr>
              <w:pStyle w:val="8"/>
              <w:spacing w:before="73" w:line="213" w:lineRule="auto"/>
              <w:ind w:left="96" w:right="9" w:hanging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 xml:space="preserve">异议内容：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因为原告的服务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“打折”了，物业费也应当打折收取；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不应交违约金。</w:t>
            </w:r>
          </w:p>
        </w:tc>
      </w:tr>
      <w:tr w14:paraId="28A546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602144">
            <w:pPr>
              <w:spacing w:before="69" w:line="181" w:lineRule="auto"/>
              <w:ind w:left="391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0775B7A5">
            <w:pPr>
              <w:spacing w:line="222" w:lineRule="auto"/>
              <w:ind w:left="31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07CFD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977239">
            <w:pPr>
              <w:spacing w:before="79" w:line="253" w:lineRule="auto"/>
              <w:ind w:left="91" w:right="10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 物业管理有限公司提供的物业服务严重不达标，杨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 有权拒付或少付物业服务费，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并不支付违约金。</w:t>
            </w:r>
          </w:p>
        </w:tc>
      </w:tr>
      <w:tr w14:paraId="5FCFE4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62502E21">
            <w:pPr>
              <w:pStyle w:val="8"/>
              <w:spacing w:before="84" w:line="251" w:lineRule="auto"/>
              <w:ind w:left="83" w:firstLine="19"/>
              <w:jc w:val="both"/>
            </w:pPr>
            <w:r>
              <w:rPr>
                <w:color w:val="231F20"/>
                <w:spacing w:val="14"/>
              </w:rPr>
              <w:t>1. 对物业服务合同或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9"/>
              </w:rPr>
              <w:t>前期物业服务合同签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订情况（名称、编号、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1"/>
              </w:rPr>
              <w:t>签订时间、地点等）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E011EA2">
            <w:pPr>
              <w:spacing w:line="255" w:lineRule="auto"/>
              <w:rPr>
                <w:rFonts w:ascii="Arial"/>
                <w:sz w:val="21"/>
              </w:rPr>
            </w:pPr>
          </w:p>
          <w:p w14:paraId="46609BFB">
            <w:pPr>
              <w:spacing w:line="256" w:lineRule="auto"/>
              <w:rPr>
                <w:rFonts w:ascii="Arial"/>
                <w:sz w:val="21"/>
              </w:rPr>
            </w:pPr>
          </w:p>
          <w:p w14:paraId="51EDB77E">
            <w:pPr>
              <w:pStyle w:val="8"/>
              <w:spacing w:before="98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53B4BF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C177F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6A679EAA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3"/>
              </w:rPr>
              <w:t>2. 对签订主体有无异议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79605F32">
            <w:pPr>
              <w:pStyle w:val="8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BA2FF91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95EDB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656AC1DE">
            <w:pPr>
              <w:pStyle w:val="8"/>
              <w:spacing w:before="88" w:line="236" w:lineRule="auto"/>
              <w:ind w:left="82" w:right="84" w:firstLine="6"/>
            </w:pPr>
            <w:r>
              <w:rPr>
                <w:color w:val="231F20"/>
                <w:spacing w:val="17"/>
              </w:rPr>
              <w:t>3. 对物业项目情况有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070D30F3">
            <w:pPr>
              <w:pStyle w:val="8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D28903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73E5B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754A001E">
            <w:pPr>
              <w:pStyle w:val="8"/>
              <w:spacing w:before="88" w:line="236" w:lineRule="auto"/>
              <w:ind w:left="85" w:right="84" w:hanging="3"/>
            </w:pPr>
            <w:r>
              <w:rPr>
                <w:color w:val="231F20"/>
                <w:spacing w:val="18"/>
              </w:rPr>
              <w:t>4. 对物业费标准有无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3726815">
            <w:pPr>
              <w:pStyle w:val="8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8B15A7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2F63A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73A47AD9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18"/>
              </w:rPr>
              <w:t>5. 对物业服务期限有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54E7FA30">
            <w:pPr>
              <w:pStyle w:val="8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E54DA8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2B3F5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1D8A140F">
            <w:pPr>
              <w:pStyle w:val="8"/>
              <w:spacing w:before="85" w:line="237" w:lineRule="auto"/>
              <w:ind w:left="84" w:right="84" w:firstLine="2"/>
            </w:pPr>
            <w:r>
              <w:rPr>
                <w:color w:val="231F20"/>
                <w:spacing w:val="18"/>
              </w:rPr>
              <w:t>6. 对物业费支付方式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0AB7EED9">
            <w:pPr>
              <w:pStyle w:val="8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716FCE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57316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3680EBD4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18"/>
              </w:rPr>
              <w:t>7. 对逾期支付物业费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违约金标准有无异议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0F2875F3">
            <w:pPr>
              <w:pStyle w:val="8"/>
              <w:spacing w:before="104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67E55D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73AE0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5D5F8252">
            <w:pPr>
              <w:spacing w:line="256" w:lineRule="auto"/>
              <w:rPr>
                <w:rFonts w:ascii="Arial"/>
                <w:sz w:val="21"/>
              </w:rPr>
            </w:pPr>
          </w:p>
          <w:p w14:paraId="26C9096D">
            <w:pPr>
              <w:spacing w:line="256" w:lineRule="auto"/>
              <w:rPr>
                <w:rFonts w:ascii="Arial"/>
                <w:sz w:val="21"/>
              </w:rPr>
            </w:pPr>
          </w:p>
          <w:p w14:paraId="3A2DE6B4">
            <w:pPr>
              <w:pStyle w:val="8"/>
              <w:spacing w:before="79" w:line="261" w:lineRule="auto"/>
              <w:ind w:left="82" w:right="84" w:firstLine="5"/>
            </w:pPr>
            <w:r>
              <w:rPr>
                <w:color w:val="231F20"/>
                <w:spacing w:val="18"/>
              </w:rPr>
              <w:t>8. 对欠付物业费数额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及计算方式有无异议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70D9DA5E">
            <w:pPr>
              <w:pStyle w:val="8"/>
              <w:spacing w:before="9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C783335">
            <w:pPr>
              <w:pStyle w:val="8"/>
              <w:spacing w:before="74" w:line="241" w:lineRule="auto"/>
              <w:ind w:left="85" w:right="8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8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8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8"/>
              </w:rPr>
              <w:t>事实与理由：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未交纳物业费是因为原告提供的物业服务严重不达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标：1.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小区内有业主养大型宠物犬不拴绳，多次反映，物业公司均未管理；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2. 计入公摊的大堂被不当占用；3. 垃圾清理不及时；4. 催收物业费的方式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过于粗暴。</w:t>
            </w:r>
          </w:p>
        </w:tc>
      </w:tr>
      <w:tr w14:paraId="22BEE4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38456941">
            <w:pPr>
              <w:pStyle w:val="8"/>
              <w:spacing w:before="255" w:line="261" w:lineRule="auto"/>
              <w:ind w:left="82" w:right="84" w:firstLine="3"/>
            </w:pPr>
            <w:r>
              <w:rPr>
                <w:color w:val="231F20"/>
                <w:spacing w:val="18"/>
              </w:rPr>
              <w:t>9. 对应付违约金数额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及计算方式有无异议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4FD3F7D2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624596D2">
            <w:pPr>
              <w:pStyle w:val="8"/>
              <w:spacing w:before="72" w:line="213" w:lineRule="auto"/>
              <w:ind w:left="84" w:right="7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不是恶意拖欠物业服务费，而是希望通过这种方式促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进物业公司改进服务，是在行使抗辩权，不是违约，所以不应支付违约金。</w:t>
            </w:r>
          </w:p>
        </w:tc>
      </w:tr>
    </w:tbl>
    <w:p w14:paraId="023FD128">
      <w:pPr>
        <w:pStyle w:val="2"/>
      </w:pPr>
    </w:p>
    <w:p w14:paraId="20E074A3">
      <w:pPr>
        <w:sectPr>
          <w:footerReference r:id="rId7" w:type="default"/>
          <w:pgSz w:w="11906" w:h="16838"/>
          <w:pgMar w:top="400" w:right="1427" w:bottom="998" w:left="1133" w:header="0" w:footer="810" w:gutter="0"/>
          <w:cols w:space="720" w:num="1"/>
        </w:sectPr>
      </w:pPr>
    </w:p>
    <w:p w14:paraId="74480DF5">
      <w:pPr>
        <w:spacing w:before="41"/>
      </w:pPr>
    </w:p>
    <w:p w14:paraId="037CEE4F">
      <w:pPr>
        <w:spacing w:before="41"/>
      </w:pPr>
    </w:p>
    <w:p w14:paraId="42C3E92A">
      <w:pPr>
        <w:spacing w:before="41"/>
      </w:pPr>
    </w:p>
    <w:p w14:paraId="20D7DF72">
      <w:pPr>
        <w:spacing w:before="41"/>
      </w:pPr>
    </w:p>
    <w:tbl>
      <w:tblPr>
        <w:tblStyle w:val="7"/>
        <w:tblW w:w="933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6"/>
        <w:gridCol w:w="7068"/>
      </w:tblGrid>
      <w:tr w14:paraId="75D1F9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7BD9A6AB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10"/>
              </w:rPr>
              <w:t>10. 对催缴情况有无异议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523010AA">
            <w:pPr>
              <w:pStyle w:val="8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6BADD3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C5147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32D66D59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 xml:space="preserve">11. 其他需要说明的内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6D3B1224">
            <w:pPr>
              <w:pStyle w:val="8"/>
              <w:spacing w:before="101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8510D5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 w14:paraId="7EF97A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41ABE68B">
            <w:pPr>
              <w:pStyle w:val="8"/>
              <w:spacing w:before="254" w:line="209" w:lineRule="auto"/>
              <w:ind w:left="102"/>
            </w:pPr>
            <w:r>
              <w:rPr>
                <w:color w:val="231F20"/>
                <w:spacing w:val="-3"/>
              </w:rPr>
              <w:t>12. 答辩依据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1E4916D">
            <w:pPr>
              <w:pStyle w:val="8"/>
              <w:spacing w:before="81" w:line="22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《北京市前期物业服务合同》第五条</w:t>
            </w:r>
          </w:p>
          <w:p w14:paraId="224D211A">
            <w:pPr>
              <w:pStyle w:val="8"/>
              <w:spacing w:before="44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《中华人民共和国民法典》第九百四十二条</w:t>
            </w:r>
          </w:p>
        </w:tc>
      </w:tr>
      <w:tr w14:paraId="2984AD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5825AC33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13. 证据清单（可另附页）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15A88C91">
            <w:pPr>
              <w:spacing w:before="82" w:line="229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290168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7E2CA9">
            <w:pPr>
              <w:spacing w:before="85" w:line="191" w:lineRule="auto"/>
              <w:ind w:left="316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CF31D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7D1C0F88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2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及时、高效、低成本、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61B96D95">
            <w:pPr>
              <w:spacing w:line="259" w:lineRule="auto"/>
              <w:rPr>
                <w:rFonts w:ascii="Arial"/>
                <w:sz w:val="21"/>
              </w:rPr>
            </w:pPr>
          </w:p>
          <w:p w14:paraId="33EF358C">
            <w:pPr>
              <w:spacing w:line="259" w:lineRule="auto"/>
              <w:rPr>
                <w:rFonts w:ascii="Arial"/>
                <w:sz w:val="21"/>
              </w:rPr>
            </w:pPr>
          </w:p>
          <w:p w14:paraId="40597C0B">
            <w:pPr>
              <w:pStyle w:val="8"/>
              <w:spacing w:before="78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BE644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66" w:type="dxa"/>
            <w:tcBorders>
              <w:left w:val="single" w:color="231F20" w:sz="4" w:space="0"/>
            </w:tcBorders>
            <w:noWrap w:val="0"/>
            <w:vAlign w:val="top"/>
          </w:tcPr>
          <w:p w14:paraId="1B464FAC">
            <w:pPr>
              <w:spacing w:line="263" w:lineRule="auto"/>
              <w:rPr>
                <w:rFonts w:ascii="Arial"/>
                <w:sz w:val="21"/>
              </w:rPr>
            </w:pPr>
          </w:p>
          <w:p w14:paraId="49E9F784">
            <w:pPr>
              <w:spacing w:line="264" w:lineRule="auto"/>
              <w:rPr>
                <w:rFonts w:ascii="Arial"/>
                <w:sz w:val="21"/>
              </w:rPr>
            </w:pPr>
          </w:p>
          <w:p w14:paraId="1BBA68D0">
            <w:pPr>
              <w:spacing w:line="264" w:lineRule="auto"/>
              <w:rPr>
                <w:rFonts w:ascii="Arial"/>
                <w:sz w:val="21"/>
              </w:rPr>
            </w:pPr>
          </w:p>
          <w:p w14:paraId="58E73FE1">
            <w:pPr>
              <w:spacing w:line="264" w:lineRule="auto"/>
              <w:rPr>
                <w:rFonts w:ascii="Arial"/>
                <w:sz w:val="21"/>
              </w:rPr>
            </w:pPr>
          </w:p>
          <w:p w14:paraId="75270F50">
            <w:pPr>
              <w:spacing w:line="264" w:lineRule="auto"/>
              <w:rPr>
                <w:rFonts w:ascii="Arial"/>
                <w:sz w:val="21"/>
              </w:rPr>
            </w:pPr>
          </w:p>
          <w:p w14:paraId="402786AE">
            <w:pPr>
              <w:spacing w:line="264" w:lineRule="auto"/>
              <w:rPr>
                <w:rFonts w:ascii="Arial"/>
                <w:sz w:val="21"/>
              </w:rPr>
            </w:pPr>
          </w:p>
          <w:p w14:paraId="4794A34B">
            <w:pPr>
              <w:spacing w:line="264" w:lineRule="auto"/>
              <w:rPr>
                <w:rFonts w:ascii="Arial"/>
                <w:sz w:val="21"/>
              </w:rPr>
            </w:pPr>
          </w:p>
          <w:p w14:paraId="49D48EC7">
            <w:pPr>
              <w:spacing w:line="264" w:lineRule="auto"/>
              <w:rPr>
                <w:rFonts w:ascii="Arial"/>
                <w:sz w:val="21"/>
              </w:rPr>
            </w:pPr>
          </w:p>
          <w:p w14:paraId="49F21BF0">
            <w:pPr>
              <w:spacing w:line="264" w:lineRule="auto"/>
              <w:rPr>
                <w:rFonts w:ascii="Arial"/>
                <w:sz w:val="21"/>
              </w:rPr>
            </w:pPr>
          </w:p>
          <w:p w14:paraId="4C666635">
            <w:pPr>
              <w:pStyle w:val="8"/>
              <w:spacing w:before="78" w:line="263" w:lineRule="auto"/>
              <w:ind w:left="83" w:right="85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68" w:type="dxa"/>
            <w:tcBorders>
              <w:right w:val="single" w:color="231F20" w:sz="4" w:space="0"/>
            </w:tcBorders>
            <w:noWrap w:val="0"/>
            <w:vAlign w:val="top"/>
          </w:tcPr>
          <w:p w14:paraId="3A7D95EC">
            <w:pPr>
              <w:pStyle w:val="8"/>
              <w:spacing w:before="86" w:line="258" w:lineRule="auto"/>
              <w:ind w:left="83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63915D2">
            <w:pPr>
              <w:pStyle w:val="8"/>
              <w:spacing w:before="1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169DB2C">
            <w:pPr>
              <w:pStyle w:val="8"/>
              <w:spacing w:before="65" w:line="261" w:lineRule="auto"/>
              <w:ind w:left="85" w:right="93"/>
            </w:pPr>
            <w:r>
              <w:rPr>
                <w:color w:val="231F20"/>
                <w:spacing w:val="5"/>
              </w:rPr>
              <w:t>2. 选择先行调解，调解成功且自动履行的免交诉讼费</w:t>
            </w:r>
            <w:r>
              <w:rPr>
                <w:color w:val="231F20"/>
                <w:spacing w:val="4"/>
              </w:rPr>
              <w:t>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C36BF1B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43C63EF">
            <w:pPr>
              <w:pStyle w:val="8"/>
              <w:spacing w:before="67" w:line="256" w:lineRule="auto"/>
              <w:ind w:left="83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</w:t>
            </w:r>
            <w:r>
              <w:rPr>
                <w:color w:val="231F20"/>
                <w:spacing w:val="4"/>
              </w:rPr>
              <w:t>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979BA73">
            <w:pPr>
              <w:pStyle w:val="8"/>
              <w:spacing w:before="15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5FABD66">
            <w:pPr>
              <w:pStyle w:val="8"/>
              <w:spacing w:before="66" w:line="261" w:lineRule="auto"/>
              <w:ind w:left="100" w:right="87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51E5431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636FA2C">
            <w:pPr>
              <w:pStyle w:val="8"/>
              <w:spacing w:before="65" w:line="261" w:lineRule="auto"/>
              <w:ind w:left="86" w:right="91"/>
            </w:pPr>
            <w:r>
              <w:rPr>
                <w:color w:val="231F20"/>
                <w:spacing w:val="5"/>
              </w:rPr>
              <w:t>5. 调解达成的协议具有法律效力，可以依照法律规定申请司</w:t>
            </w:r>
            <w:r>
              <w:rPr>
                <w:color w:val="231F20"/>
                <w:spacing w:val="4"/>
              </w:rPr>
              <w:t>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D4C7663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0368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6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3ADE121">
            <w:pPr>
              <w:spacing w:line="353" w:lineRule="auto"/>
              <w:rPr>
                <w:rFonts w:ascii="Arial"/>
                <w:sz w:val="21"/>
              </w:rPr>
            </w:pPr>
          </w:p>
          <w:p w14:paraId="612C7A04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6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DD1C2A">
            <w:pPr>
              <w:pStyle w:val="8"/>
              <w:spacing w:before="99" w:line="258" w:lineRule="auto"/>
              <w:ind w:left="86" w:right="6559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D1E61C0">
            <w:pPr>
              <w:pStyle w:val="8"/>
              <w:spacing w:line="208" w:lineRule="auto"/>
              <w:ind w:left="87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C40171A">
      <w:pPr>
        <w:spacing w:before="169" w:line="219" w:lineRule="auto"/>
        <w:ind w:left="5428" w:hanging="3954"/>
        <w:jc w:val="right"/>
        <w:rPr>
          <w:rFonts w:ascii="方正楷体_GBK" w:hAnsi="方正楷体_GBK" w:eastAsia="方正楷体_GBK" w:cs="方正楷体_GBK"/>
          <w:color w:val="231F20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 </w:t>
      </w:r>
    </w:p>
    <w:p w14:paraId="13B6E66E">
      <w:pPr>
        <w:spacing w:before="169" w:line="219" w:lineRule="auto"/>
        <w:ind w:left="5428" w:hanging="3954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47B9D85-0281-4465-882E-4B713515BA11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89EF2DF9-420E-4EFB-ADC1-61FA8C04C722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03745FC6-F520-4211-9E36-92E92B2B00A0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68A36B5E-0A54-4114-ADBC-B6EA368D75BE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565867DB-59E4-4379-91EA-4275AE4EFDC8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FE9BC3B6-E80B-4616-8C29-34F2685F7046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83247F2F-79B7-48A6-B297-5747D6B4FA6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827633C6-4B40-4854-9170-38D34A5503B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3482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64523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5954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5BCE7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D7709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27C814CD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BE21B91"/>
    <w:rsid w:val="6DDF034E"/>
    <w:rsid w:val="6E97D185"/>
    <w:rsid w:val="6FB32028"/>
    <w:rsid w:val="72FFF92E"/>
    <w:rsid w:val="738A34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1828</Words>
  <Characters>1870</Characters>
  <TotalTime>57</TotalTime>
  <ScaleCrop>false</ScaleCrop>
  <LinksUpToDate>false</LinksUpToDate>
  <CharactersWithSpaces>2220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B6A3BC445D3648CC9BF06092525CFF41_13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