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A807A">
      <w:pPr>
        <w:pStyle w:val="2"/>
        <w:spacing w:line="273" w:lineRule="auto"/>
      </w:pPr>
    </w:p>
    <w:p w14:paraId="7475569E">
      <w:pPr>
        <w:pStyle w:val="2"/>
        <w:spacing w:line="273" w:lineRule="auto"/>
      </w:pPr>
    </w:p>
    <w:p w14:paraId="3F7EFCD8">
      <w:pPr>
        <w:pStyle w:val="2"/>
        <w:spacing w:line="274" w:lineRule="auto"/>
      </w:pPr>
      <w:bookmarkStart w:id="3" w:name="_GoBack"/>
      <w:bookmarkEnd w:id="3"/>
    </w:p>
    <w:p w14:paraId="30049AF4">
      <w:pPr>
        <w:pStyle w:val="2"/>
        <w:spacing w:line="274" w:lineRule="auto"/>
      </w:pPr>
    </w:p>
    <w:p w14:paraId="754AF94A">
      <w:pPr>
        <w:pStyle w:val="2"/>
        <w:spacing w:line="274" w:lineRule="auto"/>
      </w:pPr>
    </w:p>
    <w:p w14:paraId="594C9DC3">
      <w:pPr>
        <w:pStyle w:val="2"/>
        <w:spacing w:line="274" w:lineRule="auto"/>
      </w:pPr>
    </w:p>
    <w:p w14:paraId="513C77D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0"/>
      <w:bookmarkEnd w:id="0"/>
      <w:bookmarkStart w:id="1" w:name="bookmark32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96B04CF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 w14:paraId="0B22152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402"/>
        <w:gridCol w:w="1167"/>
        <w:gridCol w:w="3505"/>
      </w:tblGrid>
      <w:tr w14:paraId="3CAB73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EF5D8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8D08A2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2943E9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DF52D1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C031C7A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ACACF63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D34A108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26B3E9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3D6A467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D90BC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 w14:paraId="5C9B3DBB">
            <w:pPr>
              <w:pStyle w:val="8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2"/>
            <w:noWrap w:val="0"/>
            <w:vAlign w:val="top"/>
          </w:tcPr>
          <w:p w14:paraId="0CB6F6A4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04B8F3F6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5525C766">
            <w:pPr>
              <w:rPr>
                <w:rFonts w:ascii="Arial"/>
                <w:sz w:val="21"/>
              </w:rPr>
            </w:pPr>
          </w:p>
        </w:tc>
      </w:tr>
      <w:tr w14:paraId="76E221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1CC08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4BDA2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742DEECA">
            <w:pPr>
              <w:spacing w:line="255" w:lineRule="auto"/>
              <w:rPr>
                <w:rFonts w:ascii="Arial"/>
                <w:sz w:val="21"/>
              </w:rPr>
            </w:pPr>
          </w:p>
          <w:p w14:paraId="47AA62D9">
            <w:pPr>
              <w:spacing w:line="255" w:lineRule="auto"/>
              <w:rPr>
                <w:rFonts w:ascii="Arial"/>
                <w:sz w:val="21"/>
              </w:rPr>
            </w:pPr>
          </w:p>
          <w:p w14:paraId="6FBC82DB">
            <w:pPr>
              <w:spacing w:line="255" w:lineRule="auto"/>
              <w:rPr>
                <w:rFonts w:ascii="Arial"/>
                <w:sz w:val="21"/>
              </w:rPr>
            </w:pPr>
          </w:p>
          <w:p w14:paraId="01381A13">
            <w:pPr>
              <w:spacing w:line="256" w:lineRule="auto"/>
              <w:rPr>
                <w:rFonts w:ascii="Arial"/>
                <w:sz w:val="21"/>
              </w:rPr>
            </w:pPr>
          </w:p>
          <w:p w14:paraId="77A4210E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76D57A3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E22443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5BEBE2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377854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0BF8071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5CE7E9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20AB2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1BBBCE7D">
            <w:pPr>
              <w:spacing w:line="255" w:lineRule="auto"/>
              <w:rPr>
                <w:rFonts w:ascii="Arial"/>
                <w:sz w:val="21"/>
              </w:rPr>
            </w:pPr>
          </w:p>
          <w:p w14:paraId="7545255C">
            <w:pPr>
              <w:spacing w:line="255" w:lineRule="auto"/>
              <w:rPr>
                <w:rFonts w:ascii="Arial"/>
                <w:sz w:val="21"/>
              </w:rPr>
            </w:pPr>
          </w:p>
          <w:p w14:paraId="36946265">
            <w:pPr>
              <w:spacing w:line="255" w:lineRule="auto"/>
              <w:rPr>
                <w:rFonts w:ascii="Arial"/>
                <w:sz w:val="21"/>
              </w:rPr>
            </w:pPr>
          </w:p>
          <w:p w14:paraId="06A3056B">
            <w:pPr>
              <w:spacing w:line="255" w:lineRule="auto"/>
              <w:rPr>
                <w:rFonts w:ascii="Arial"/>
                <w:sz w:val="21"/>
              </w:rPr>
            </w:pPr>
          </w:p>
          <w:p w14:paraId="6F0D243C">
            <w:pPr>
              <w:spacing w:line="255" w:lineRule="auto"/>
              <w:rPr>
                <w:rFonts w:ascii="Arial"/>
                <w:sz w:val="21"/>
              </w:rPr>
            </w:pPr>
          </w:p>
          <w:p w14:paraId="602BBD69">
            <w:pPr>
              <w:spacing w:line="255" w:lineRule="auto"/>
              <w:rPr>
                <w:rFonts w:ascii="Arial"/>
                <w:sz w:val="21"/>
              </w:rPr>
            </w:pPr>
          </w:p>
          <w:p w14:paraId="1818C962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D512D4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374D66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2790430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04A7010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CEA4B3E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27220EA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5D79FA3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406F3DE8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7163A6BC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2DC64596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2CA79DE1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511E0E3D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631F9F27">
      <w:pPr>
        <w:pStyle w:val="2"/>
      </w:pPr>
    </w:p>
    <w:p w14:paraId="67F2B1DF">
      <w:pPr>
        <w:spacing w:before="41"/>
      </w:pPr>
    </w:p>
    <w:p w14:paraId="1A6C9599">
      <w:pPr>
        <w:spacing w:before="41"/>
      </w:pPr>
    </w:p>
    <w:p w14:paraId="4D281E6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A1F2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C2CB3B">
            <w:pPr>
              <w:spacing w:line="341" w:lineRule="auto"/>
              <w:rPr>
                <w:rFonts w:ascii="Arial"/>
                <w:sz w:val="21"/>
              </w:rPr>
            </w:pPr>
          </w:p>
          <w:p w14:paraId="2F4565D4">
            <w:pPr>
              <w:spacing w:line="342" w:lineRule="auto"/>
              <w:rPr>
                <w:rFonts w:ascii="Arial"/>
                <w:sz w:val="21"/>
              </w:rPr>
            </w:pPr>
          </w:p>
          <w:p w14:paraId="0D7C4BA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899D68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42B114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B861D1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486303B8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DD411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19639D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011C9B0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8EFBC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D8955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945AE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E58A77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2449F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8D39A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9B50F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D7E122">
            <w:pPr>
              <w:pStyle w:val="8"/>
              <w:spacing w:before="87" w:line="244" w:lineRule="auto"/>
              <w:ind w:left="81" w:firstLine="3"/>
              <w:jc w:val="both"/>
            </w:pPr>
            <w:r>
              <w:rPr>
                <w:color w:val="231F20"/>
                <w:spacing w:val="6"/>
              </w:rPr>
              <w:t>2. 对利息（期内利息、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复利、罚息）有无异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667152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BDF39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F1DDD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888AA1">
            <w:pPr>
              <w:pStyle w:val="8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6825D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469AC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6217A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0BB5D6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25E37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359F07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B0766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2E2A6A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DDFA0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3D15B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F0C2B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E0E823">
            <w:pPr>
              <w:pStyle w:val="8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3FBF0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4C309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51E59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FBB8BB">
            <w:pPr>
              <w:pStyle w:val="8"/>
              <w:spacing w:before="257" w:line="208" w:lineRule="auto"/>
              <w:ind w:left="84"/>
            </w:pPr>
            <w:r>
              <w:rPr>
                <w:color w:val="231F20"/>
                <w:spacing w:val="-1"/>
              </w:rPr>
              <w:t>7.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0200A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2749E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89933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BF7813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CE70AEF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2CF00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B9BEE5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2A0F9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30458D">
            <w:pPr>
              <w:pStyle w:val="8"/>
              <w:spacing w:before="88" w:line="244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F595DF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E6DD7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218B8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99EEFE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907A7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E5E7D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5AD45833">
      <w:pPr>
        <w:pStyle w:val="2"/>
      </w:pPr>
    </w:p>
    <w:p w14:paraId="04C25CC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E72E42B">
      <w:pPr>
        <w:spacing w:before="41"/>
      </w:pPr>
    </w:p>
    <w:p w14:paraId="3144C0CC">
      <w:pPr>
        <w:spacing w:before="41"/>
      </w:pPr>
    </w:p>
    <w:p w14:paraId="2AC5BD32">
      <w:pPr>
        <w:spacing w:before="41"/>
      </w:pPr>
    </w:p>
    <w:p w14:paraId="29D7505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46D5E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D183E6">
            <w:pPr>
              <w:pStyle w:val="8"/>
              <w:spacing w:before="254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511A0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32E17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A5945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89D0F0">
            <w:pPr>
              <w:pStyle w:val="8"/>
              <w:spacing w:before="252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06FEC4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C9C95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091E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FBF92B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7193D0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B9C82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7C14B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379F65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对借款发放时间有无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9D168B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C1908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B374A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EBD4B9">
            <w:pPr>
              <w:pStyle w:val="8"/>
              <w:spacing w:before="255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C4B1F5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714AE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443B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36194A">
            <w:pPr>
              <w:pStyle w:val="8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3CA98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7AF3FE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DA9FC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67C6CB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9. 对是否逾期还款有无 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FE06ED">
            <w:pPr>
              <w:pStyle w:val="8"/>
              <w:spacing w:before="92" w:line="203" w:lineRule="auto"/>
              <w:ind w:left="82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无□</w:t>
            </w:r>
          </w:p>
          <w:p w14:paraId="7238394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有□    事实与理由：</w:t>
            </w:r>
          </w:p>
        </w:tc>
      </w:tr>
      <w:tr w14:paraId="044B63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292107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DE2E3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13B29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2F4D1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959694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BCF39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144141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223A5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8E14BC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027C0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C19850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9EC48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2756CD">
            <w:pPr>
              <w:pStyle w:val="8"/>
              <w:spacing w:before="87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9F99E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DB08E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5E896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813D4A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 / 保函有无异议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DC51A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FFCB6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D4357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B59AD2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BEC4A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1FF85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ACFFC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9D83A8">
            <w:pPr>
              <w:pStyle w:val="8"/>
              <w:spacing w:before="87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CFA28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000B7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91963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0921BF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3C1A6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B053F0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798F6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922AA1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775444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31983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C666C4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19.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B6E79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B148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572698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F00EA7">
            <w:pPr>
              <w:pStyle w:val="8"/>
              <w:spacing w:before="87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8C1B11">
            <w:pPr>
              <w:rPr>
                <w:rFonts w:ascii="Arial"/>
                <w:sz w:val="21"/>
              </w:rPr>
            </w:pPr>
          </w:p>
        </w:tc>
      </w:tr>
    </w:tbl>
    <w:p w14:paraId="15827A86">
      <w:pPr>
        <w:pStyle w:val="2"/>
      </w:pPr>
    </w:p>
    <w:p w14:paraId="3E518B3A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3635A1F">
      <w:pPr>
        <w:spacing w:before="41"/>
      </w:pPr>
    </w:p>
    <w:p w14:paraId="15552D3D">
      <w:pPr>
        <w:spacing w:before="41"/>
      </w:pPr>
    </w:p>
    <w:p w14:paraId="66182733">
      <w:pPr>
        <w:spacing w:before="41"/>
      </w:pPr>
    </w:p>
    <w:p w14:paraId="051A693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2"/>
        <w:gridCol w:w="7192"/>
      </w:tblGrid>
      <w:tr w14:paraId="2D1733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50662F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83B07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152" w:type="dxa"/>
            <w:tcBorders>
              <w:left w:val="single" w:color="231F20" w:sz="4" w:space="0"/>
            </w:tcBorders>
            <w:noWrap w:val="0"/>
            <w:vAlign w:val="top"/>
          </w:tcPr>
          <w:p w14:paraId="1A2E1FD4">
            <w:pPr>
              <w:pStyle w:val="8"/>
              <w:spacing w:before="83" w:line="251" w:lineRule="auto"/>
              <w:ind w:left="80" w:right="17" w:firstLine="3"/>
              <w:jc w:val="both"/>
            </w:pPr>
            <w:r>
              <w:rPr>
                <w:color w:val="231F20"/>
                <w:spacing w:val="9"/>
              </w:rPr>
              <w:t>是否了解调解作为非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7"/>
              </w:rPr>
              <w:t>诉讼纠纷解决方式，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能及时、高效、低成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9"/>
              </w:rPr>
              <w:t>本、不伤和气地解决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纠纷</w:t>
            </w:r>
          </w:p>
        </w:tc>
        <w:tc>
          <w:tcPr>
            <w:tcW w:w="7192" w:type="dxa"/>
            <w:tcBorders>
              <w:right w:val="single" w:color="231F20" w:sz="4" w:space="0"/>
            </w:tcBorders>
            <w:noWrap w:val="0"/>
            <w:vAlign w:val="top"/>
          </w:tcPr>
          <w:p w14:paraId="5AAD7D5A">
            <w:pPr>
              <w:spacing w:line="342" w:lineRule="auto"/>
              <w:rPr>
                <w:rFonts w:ascii="Arial"/>
                <w:sz w:val="21"/>
              </w:rPr>
            </w:pPr>
          </w:p>
          <w:p w14:paraId="2A3E794C">
            <w:pPr>
              <w:spacing w:line="343" w:lineRule="auto"/>
              <w:rPr>
                <w:rFonts w:ascii="Arial"/>
                <w:sz w:val="21"/>
              </w:rPr>
            </w:pPr>
          </w:p>
          <w:p w14:paraId="67D9BB6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341F4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152" w:type="dxa"/>
            <w:tcBorders>
              <w:left w:val="single" w:color="231F20" w:sz="4" w:space="0"/>
            </w:tcBorders>
            <w:noWrap w:val="0"/>
            <w:vAlign w:val="top"/>
          </w:tcPr>
          <w:p w14:paraId="6C60A0EC">
            <w:pPr>
              <w:spacing w:line="263" w:lineRule="auto"/>
              <w:rPr>
                <w:rFonts w:ascii="Arial"/>
                <w:sz w:val="21"/>
              </w:rPr>
            </w:pPr>
          </w:p>
          <w:p w14:paraId="58261B52">
            <w:pPr>
              <w:spacing w:line="263" w:lineRule="auto"/>
              <w:rPr>
                <w:rFonts w:ascii="Arial"/>
                <w:sz w:val="21"/>
              </w:rPr>
            </w:pPr>
          </w:p>
          <w:p w14:paraId="31B8F6EC">
            <w:pPr>
              <w:spacing w:line="263" w:lineRule="auto"/>
              <w:rPr>
                <w:rFonts w:ascii="Arial"/>
                <w:sz w:val="21"/>
              </w:rPr>
            </w:pPr>
          </w:p>
          <w:p w14:paraId="362D681D">
            <w:pPr>
              <w:spacing w:line="264" w:lineRule="auto"/>
              <w:rPr>
                <w:rFonts w:ascii="Arial"/>
                <w:sz w:val="21"/>
              </w:rPr>
            </w:pPr>
          </w:p>
          <w:p w14:paraId="4380B19A">
            <w:pPr>
              <w:spacing w:line="264" w:lineRule="auto"/>
              <w:rPr>
                <w:rFonts w:ascii="Arial"/>
                <w:sz w:val="21"/>
              </w:rPr>
            </w:pPr>
          </w:p>
          <w:p w14:paraId="2F1BAE9A">
            <w:pPr>
              <w:spacing w:line="264" w:lineRule="auto"/>
              <w:rPr>
                <w:rFonts w:ascii="Arial"/>
                <w:sz w:val="21"/>
              </w:rPr>
            </w:pPr>
          </w:p>
          <w:p w14:paraId="09A9D2F5">
            <w:pPr>
              <w:spacing w:line="264" w:lineRule="auto"/>
              <w:rPr>
                <w:rFonts w:ascii="Arial"/>
                <w:sz w:val="21"/>
              </w:rPr>
            </w:pPr>
          </w:p>
          <w:p w14:paraId="52C07DFC">
            <w:pPr>
              <w:spacing w:line="264" w:lineRule="auto"/>
              <w:rPr>
                <w:rFonts w:ascii="Arial"/>
                <w:sz w:val="21"/>
              </w:rPr>
            </w:pPr>
          </w:p>
          <w:p w14:paraId="36865D96">
            <w:pPr>
              <w:spacing w:line="264" w:lineRule="auto"/>
              <w:rPr>
                <w:rFonts w:ascii="Arial"/>
                <w:sz w:val="21"/>
              </w:rPr>
            </w:pPr>
          </w:p>
          <w:p w14:paraId="52CE7CC7">
            <w:pPr>
              <w:pStyle w:val="8"/>
              <w:spacing w:before="79" w:line="263" w:lineRule="auto"/>
              <w:ind w:left="83" w:right="85"/>
            </w:pPr>
            <w:r>
              <w:rPr>
                <w:color w:val="231F20"/>
                <w:spacing w:val="9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92" w:type="dxa"/>
            <w:tcBorders>
              <w:right w:val="single" w:color="231F20" w:sz="4" w:space="0"/>
            </w:tcBorders>
            <w:noWrap w:val="0"/>
            <w:vAlign w:val="top"/>
          </w:tcPr>
          <w:p w14:paraId="34B5BD7C">
            <w:pPr>
              <w:pStyle w:val="8"/>
              <w:spacing w:before="85" w:line="258" w:lineRule="auto"/>
              <w:ind w:left="83" w:firstLine="19"/>
              <w:jc w:val="both"/>
            </w:pPr>
            <w:r>
              <w:rPr>
                <w:color w:val="231F20"/>
                <w:spacing w:val="2"/>
              </w:rPr>
              <w:t>1. 立案后选择先行调解的，可以很快启动</w:t>
            </w:r>
            <w:r>
              <w:rPr>
                <w:color w:val="231F20"/>
                <w:spacing w:val="1"/>
              </w:rPr>
              <w:t>调解程序。如不同意调解，法院将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5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03413C6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E44C595">
            <w:pPr>
              <w:pStyle w:val="8"/>
              <w:spacing w:before="65" w:line="261" w:lineRule="auto"/>
              <w:ind w:left="84" w:right="88" w:firstLine="1"/>
            </w:pPr>
            <w:r>
              <w:rPr>
                <w:color w:val="231F20"/>
                <w:spacing w:val="2"/>
              </w:rPr>
              <w:t>2. 选择先行调解，调解成功且自动履行的免交诉讼费用，申请司法确认的不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253A03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9D6BA2">
            <w:pPr>
              <w:pStyle w:val="8"/>
              <w:spacing w:before="67" w:line="256" w:lineRule="auto"/>
              <w:ind w:left="85" w:right="89" w:firstLine="4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2B66A139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D0AC2C">
            <w:pPr>
              <w:pStyle w:val="8"/>
              <w:spacing w:before="66" w:line="261" w:lineRule="auto"/>
              <w:ind w:left="84" w:right="98" w:hanging="2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依照法律规定，调解具有保密性要求，调解过程不公开，调解协议未经当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53A9F68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1B10366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034D26F0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3A4BD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15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AE8F0E7">
            <w:pPr>
              <w:spacing w:line="353" w:lineRule="auto"/>
              <w:rPr>
                <w:rFonts w:ascii="Arial"/>
                <w:sz w:val="21"/>
              </w:rPr>
            </w:pPr>
          </w:p>
          <w:p w14:paraId="594DA6B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9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BC7BFC">
            <w:pPr>
              <w:pStyle w:val="8"/>
              <w:spacing w:before="99" w:line="258" w:lineRule="auto"/>
              <w:ind w:left="86" w:right="668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9FBE47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B59EEE7">
      <w:pPr>
        <w:spacing w:before="155" w:line="215" w:lineRule="auto"/>
        <w:ind w:left="5379" w:right="888" w:hanging="43"/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8993AD1-2E36-4319-A788-D1B376FEAA12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B7604F8F-D7CD-4B07-8FCA-89CBA46BA98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59552359-2CF6-4481-9E0C-1529560F7AA2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889033DD-8691-4180-B3E5-4B31E9E38A76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40F026CF-4EA1-4223-B319-FA5B2E95E21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A871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15E5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132D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EF50E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0C87D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32E4FE9"/>
    <w:rsid w:val="1BB82A97"/>
    <w:rsid w:val="1DAE4148"/>
    <w:rsid w:val="26B62EF1"/>
    <w:rsid w:val="32027306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3707061"/>
    <w:rsid w:val="643D7E0E"/>
    <w:rsid w:val="64715B3A"/>
    <w:rsid w:val="69271AFF"/>
    <w:rsid w:val="6B99415D"/>
    <w:rsid w:val="6DDF034E"/>
    <w:rsid w:val="6E97D185"/>
    <w:rsid w:val="6FB32028"/>
    <w:rsid w:val="70ED1FA1"/>
    <w:rsid w:val="72FFF92E"/>
    <w:rsid w:val="775FFE76"/>
    <w:rsid w:val="78D41F79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1833</Words>
  <Characters>1883</Characters>
  <TotalTime>0</TotalTime>
  <ScaleCrop>false</ScaleCrop>
  <LinksUpToDate>false</LinksUpToDate>
  <CharactersWithSpaces>2413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ABB01100F41B43B389BBFFA7CD1FDDFD_13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