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0FB5A">
      <w:pPr>
        <w:pStyle w:val="2"/>
        <w:spacing w:line="242" w:lineRule="auto"/>
      </w:pPr>
      <w:bookmarkStart w:id="4" w:name="_GoBack"/>
      <w:bookmarkEnd w:id="4"/>
    </w:p>
    <w:p w14:paraId="3E0872BA">
      <w:pPr>
        <w:pStyle w:val="2"/>
        <w:spacing w:line="242" w:lineRule="auto"/>
      </w:pPr>
    </w:p>
    <w:p w14:paraId="3A12C289">
      <w:pPr>
        <w:pStyle w:val="2"/>
        <w:spacing w:line="243" w:lineRule="auto"/>
      </w:pPr>
    </w:p>
    <w:p w14:paraId="1CF6C99B">
      <w:pPr>
        <w:pStyle w:val="2"/>
        <w:spacing w:line="243" w:lineRule="auto"/>
      </w:pPr>
    </w:p>
    <w:p w14:paraId="3DF4DC5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D41EBAE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304511F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7D4675F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2"/>
        <w:gridCol w:w="1082"/>
        <w:gridCol w:w="3950"/>
      </w:tblGrid>
      <w:tr w14:paraId="64C291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FDCEA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EC48B8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280F65D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2432505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29FEF26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EC4EBA3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0AF9A9D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6FFC381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DCC48F6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9685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64F6EFCD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3" w:type="dxa"/>
            <w:gridSpan w:val="2"/>
            <w:noWrap w:val="0"/>
            <w:vAlign w:val="top"/>
          </w:tcPr>
          <w:p w14:paraId="2BDD468F">
            <w:pPr>
              <w:spacing w:before="81" w:line="229" w:lineRule="auto"/>
              <w:ind w:left="1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（2023）鲁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号</w:t>
            </w:r>
          </w:p>
        </w:tc>
        <w:tc>
          <w:tcPr>
            <w:tcW w:w="1082" w:type="dxa"/>
            <w:noWrap w:val="0"/>
            <w:vAlign w:val="top"/>
          </w:tcPr>
          <w:p w14:paraId="29246CAB">
            <w:pPr>
              <w:pStyle w:val="8"/>
              <w:spacing w:before="86" w:line="208" w:lineRule="auto"/>
              <w:ind w:left="33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0" w:type="dxa"/>
            <w:tcBorders>
              <w:right w:val="single" w:color="231F20" w:sz="4" w:space="0"/>
            </w:tcBorders>
            <w:noWrap w:val="0"/>
            <w:vAlign w:val="top"/>
          </w:tcPr>
          <w:p w14:paraId="70DAE9E7">
            <w:pPr>
              <w:spacing w:before="80" w:line="230" w:lineRule="auto"/>
              <w:ind w:left="93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滥用市场支配地位纠纷</w:t>
            </w:r>
          </w:p>
        </w:tc>
      </w:tr>
      <w:tr w14:paraId="6E2896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B3B09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1990A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09AEB05">
            <w:pPr>
              <w:rPr>
                <w:rFonts w:ascii="Arial"/>
                <w:sz w:val="21"/>
              </w:rPr>
            </w:pPr>
          </w:p>
          <w:p w14:paraId="0D467F15">
            <w:pPr>
              <w:spacing w:line="241" w:lineRule="auto"/>
              <w:rPr>
                <w:rFonts w:ascii="Arial"/>
                <w:sz w:val="21"/>
              </w:rPr>
            </w:pPr>
          </w:p>
          <w:p w14:paraId="5217D584">
            <w:pPr>
              <w:spacing w:line="241" w:lineRule="auto"/>
              <w:rPr>
                <w:rFonts w:ascii="Arial"/>
                <w:sz w:val="21"/>
              </w:rPr>
            </w:pPr>
          </w:p>
          <w:p w14:paraId="00BB04C9">
            <w:pPr>
              <w:spacing w:line="241" w:lineRule="auto"/>
              <w:rPr>
                <w:rFonts w:ascii="Arial"/>
                <w:sz w:val="21"/>
              </w:rPr>
            </w:pPr>
          </w:p>
          <w:p w14:paraId="7C4E46E2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FE6F862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5C66E5B9">
            <w:pPr>
              <w:pStyle w:val="8"/>
              <w:spacing w:before="1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8F4184D">
            <w:pPr>
              <w:pStyle w:val="8"/>
              <w:spacing w:before="4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       </w:t>
            </w:r>
            <w:r>
              <w:rPr>
                <w:color w:val="231F20"/>
                <w:spacing w:val="-4"/>
              </w:rPr>
              <w:t xml:space="preserve">            民族：</w:t>
            </w:r>
          </w:p>
          <w:p w14:paraId="5E7767DA">
            <w:pPr>
              <w:pStyle w:val="8"/>
              <w:spacing w:before="6" w:line="239" w:lineRule="auto"/>
              <w:ind w:left="85"/>
            </w:pPr>
            <w:r>
              <w:rPr>
                <w:color w:val="231F20"/>
              </w:rPr>
              <w:t xml:space="preserve">工作单位：              职务：         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1C836EE7">
            <w:pPr>
              <w:pStyle w:val="8"/>
              <w:spacing w:before="7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9EFE1E0">
            <w:pPr>
              <w:pStyle w:val="8"/>
              <w:spacing w:before="38" w:line="229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F24D1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FF4FBD">
            <w:pPr>
              <w:spacing w:line="251" w:lineRule="auto"/>
              <w:rPr>
                <w:rFonts w:ascii="Arial"/>
                <w:sz w:val="21"/>
              </w:rPr>
            </w:pPr>
          </w:p>
          <w:p w14:paraId="3F88AE17">
            <w:pPr>
              <w:spacing w:line="251" w:lineRule="auto"/>
              <w:rPr>
                <w:rFonts w:ascii="Arial"/>
                <w:sz w:val="21"/>
              </w:rPr>
            </w:pPr>
          </w:p>
          <w:p w14:paraId="375D6277">
            <w:pPr>
              <w:spacing w:line="251" w:lineRule="auto"/>
              <w:rPr>
                <w:rFonts w:ascii="Arial"/>
                <w:sz w:val="21"/>
              </w:rPr>
            </w:pPr>
          </w:p>
          <w:p w14:paraId="12FDE165">
            <w:pPr>
              <w:spacing w:line="251" w:lineRule="auto"/>
              <w:rPr>
                <w:rFonts w:ascii="Arial"/>
                <w:sz w:val="21"/>
              </w:rPr>
            </w:pPr>
          </w:p>
          <w:p w14:paraId="2D31732F">
            <w:pPr>
              <w:spacing w:line="251" w:lineRule="auto"/>
              <w:rPr>
                <w:rFonts w:ascii="Arial"/>
                <w:sz w:val="21"/>
              </w:rPr>
            </w:pPr>
          </w:p>
          <w:p w14:paraId="3CECAE4C">
            <w:pPr>
              <w:spacing w:line="251" w:lineRule="auto"/>
              <w:rPr>
                <w:rFonts w:ascii="Arial"/>
                <w:sz w:val="21"/>
              </w:rPr>
            </w:pPr>
          </w:p>
          <w:p w14:paraId="38738D9A">
            <w:pPr>
              <w:spacing w:line="252" w:lineRule="auto"/>
              <w:rPr>
                <w:rFonts w:ascii="Arial"/>
                <w:sz w:val="21"/>
              </w:rPr>
            </w:pPr>
          </w:p>
          <w:p w14:paraId="15F8C5E2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67F6BFD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AAD9637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名称：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网络股份有限公司</w:t>
            </w:r>
          </w:p>
          <w:p w14:paraId="2F5C9077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09FA0413">
            <w:pPr>
              <w:pStyle w:val="8"/>
              <w:spacing w:before="11" w:line="238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山东省济南市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2D2298F5">
            <w:pPr>
              <w:pStyle w:val="8"/>
              <w:spacing w:before="25" w:line="244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798AD4F">
            <w:pPr>
              <w:pStyle w:val="8"/>
              <w:spacing w:before="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0BB45100">
            <w:pPr>
              <w:pStyle w:val="8"/>
              <w:spacing w:before="37" w:line="222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BB1FB6E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62B6891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067CE635">
      <w:pPr>
        <w:pStyle w:val="2"/>
      </w:pPr>
    </w:p>
    <w:p w14:paraId="7190AB72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AFF76B9">
      <w:pPr>
        <w:spacing w:before="41"/>
      </w:pPr>
    </w:p>
    <w:p w14:paraId="7CA74A55">
      <w:pPr>
        <w:spacing w:before="41"/>
      </w:pPr>
    </w:p>
    <w:p w14:paraId="4AFD9CE0">
      <w:pPr>
        <w:spacing w:before="41"/>
      </w:pPr>
    </w:p>
    <w:p w14:paraId="4BD729C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B82F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A17964">
            <w:pPr>
              <w:spacing w:line="284" w:lineRule="auto"/>
              <w:rPr>
                <w:rFonts w:ascii="Arial"/>
                <w:sz w:val="21"/>
              </w:rPr>
            </w:pPr>
          </w:p>
          <w:p w14:paraId="713B4D6D">
            <w:pPr>
              <w:spacing w:line="284" w:lineRule="auto"/>
              <w:rPr>
                <w:rFonts w:ascii="Arial"/>
                <w:sz w:val="21"/>
              </w:rPr>
            </w:pPr>
          </w:p>
          <w:p w14:paraId="7ED938DC">
            <w:pPr>
              <w:spacing w:line="285" w:lineRule="auto"/>
              <w:rPr>
                <w:rFonts w:ascii="Arial"/>
                <w:sz w:val="21"/>
              </w:rPr>
            </w:pPr>
          </w:p>
          <w:p w14:paraId="5FD16C1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DBB958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4C4B33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197E2279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7D39E0E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E61A394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700554B5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2DD398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171F0F">
            <w:pPr>
              <w:spacing w:line="340" w:lineRule="auto"/>
              <w:rPr>
                <w:rFonts w:ascii="Arial"/>
                <w:sz w:val="21"/>
              </w:rPr>
            </w:pPr>
          </w:p>
          <w:p w14:paraId="598F991D">
            <w:pPr>
              <w:spacing w:line="341" w:lineRule="auto"/>
              <w:rPr>
                <w:rFonts w:ascii="Arial"/>
                <w:sz w:val="21"/>
              </w:rPr>
            </w:pPr>
          </w:p>
          <w:p w14:paraId="2B32260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E78054D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922DDB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5ED4F82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06D1C86D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19D184A1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C0F6D1F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D551E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45339D">
            <w:pPr>
              <w:spacing w:line="256" w:lineRule="auto"/>
              <w:rPr>
                <w:rFonts w:ascii="Arial"/>
                <w:sz w:val="21"/>
              </w:rPr>
            </w:pPr>
          </w:p>
          <w:p w14:paraId="71DB2392">
            <w:pPr>
              <w:spacing w:line="256" w:lineRule="auto"/>
              <w:rPr>
                <w:rFonts w:ascii="Arial"/>
                <w:sz w:val="21"/>
              </w:rPr>
            </w:pPr>
          </w:p>
          <w:p w14:paraId="2D4F0A71">
            <w:pPr>
              <w:spacing w:line="256" w:lineRule="auto"/>
              <w:rPr>
                <w:rFonts w:ascii="Arial"/>
                <w:sz w:val="21"/>
              </w:rPr>
            </w:pPr>
          </w:p>
          <w:p w14:paraId="06DAD1AA">
            <w:pPr>
              <w:spacing w:line="256" w:lineRule="auto"/>
              <w:rPr>
                <w:rFonts w:ascii="Arial"/>
                <w:sz w:val="21"/>
              </w:rPr>
            </w:pPr>
          </w:p>
          <w:p w14:paraId="30D0A754">
            <w:pPr>
              <w:spacing w:line="256" w:lineRule="auto"/>
              <w:rPr>
                <w:rFonts w:ascii="Arial"/>
                <w:sz w:val="21"/>
              </w:rPr>
            </w:pPr>
          </w:p>
          <w:p w14:paraId="063A1EBB">
            <w:pPr>
              <w:spacing w:line="257" w:lineRule="auto"/>
              <w:rPr>
                <w:rFonts w:ascii="Arial"/>
                <w:sz w:val="21"/>
              </w:rPr>
            </w:pPr>
          </w:p>
          <w:p w14:paraId="4AE426B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0386BBA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B4C99F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AAD844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BD517E0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20CE7A2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FBEFAC5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5D10570B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6EC74CCE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360E2F13">
            <w:pPr>
              <w:pStyle w:val="8"/>
              <w:spacing w:before="30" w:line="265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4084F3DA">
            <w:pPr>
              <w:pStyle w:val="8"/>
              <w:spacing w:before="1" w:line="173" w:lineRule="auto"/>
              <w:ind w:left="503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5BC2434A">
            <w:pPr>
              <w:pStyle w:val="8"/>
              <w:spacing w:before="6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43B5B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CE2C75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F285569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CB30E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9B8011">
            <w:pPr>
              <w:spacing w:before="83" w:line="221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请求驳回原告的全部诉讼请求。</w:t>
            </w:r>
          </w:p>
        </w:tc>
      </w:tr>
      <w:tr w14:paraId="38580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80D0B1">
            <w:pPr>
              <w:pStyle w:val="8"/>
              <w:spacing w:before="256" w:line="263" w:lineRule="auto"/>
              <w:ind w:left="85" w:right="84" w:firstLine="17"/>
            </w:pPr>
            <w:r>
              <w:rPr>
                <w:color w:val="231F20"/>
                <w:spacing w:val="-2"/>
              </w:rPr>
              <w:t>1. 对停止垄断行为有无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A8DEB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B80C05">
            <w:pPr>
              <w:pStyle w:val="8"/>
              <w:spacing w:before="74" w:line="212" w:lineRule="auto"/>
              <w:ind w:left="100" w:right="91" w:hanging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关于原告主张被告应当立即停止垄断行为的问题。被告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未实施垄断行为，无需停止侵害。</w:t>
            </w:r>
          </w:p>
        </w:tc>
      </w:tr>
      <w:tr w14:paraId="146EEC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035B59">
            <w:pPr>
              <w:spacing w:line="347" w:lineRule="auto"/>
              <w:rPr>
                <w:rFonts w:ascii="Arial"/>
                <w:sz w:val="21"/>
              </w:rPr>
            </w:pPr>
          </w:p>
          <w:p w14:paraId="3550AD2D">
            <w:pPr>
              <w:pStyle w:val="8"/>
              <w:spacing w:before="78" w:line="262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FBAE4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424DA0">
            <w:pPr>
              <w:pStyle w:val="8"/>
              <w:spacing w:before="73" w:line="231" w:lineRule="auto"/>
              <w:ind w:left="82" w:firstLine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关于原告主张被告应当赔偿经济损失 80000 元的问题。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被告未实施垄断行为，无需赔偿经济损失 / 原告主张的赔偿数额过高，其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经济损失仅为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元。</w:t>
            </w:r>
          </w:p>
        </w:tc>
      </w:tr>
      <w:tr w14:paraId="6513FC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94EA60">
            <w:pPr>
              <w:pStyle w:val="8"/>
              <w:spacing w:before="258" w:line="262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246B88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386E9E">
            <w:pPr>
              <w:pStyle w:val="8"/>
              <w:spacing w:before="73" w:line="212" w:lineRule="auto"/>
              <w:ind w:left="81" w:right="80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异议内容：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关于原告主张被告应当赔偿维权合理开支 6000 元的问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题。被告未实施垄断行为，无需赔偿维权合理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开支。</w:t>
            </w:r>
          </w:p>
        </w:tc>
      </w:tr>
      <w:tr w14:paraId="218F27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34487B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87FB13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5F320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7E8A2DB8">
      <w:pPr>
        <w:pStyle w:val="2"/>
      </w:pPr>
    </w:p>
    <w:p w14:paraId="7340EFB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83B5504">
      <w:pPr>
        <w:spacing w:before="41"/>
      </w:pPr>
    </w:p>
    <w:p w14:paraId="43E958F6">
      <w:pPr>
        <w:spacing w:before="41"/>
      </w:pPr>
    </w:p>
    <w:p w14:paraId="50578D4B">
      <w:pPr>
        <w:spacing w:before="41"/>
      </w:pPr>
    </w:p>
    <w:p w14:paraId="2130328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5F89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347122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C7F80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18273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C9B73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390F9F">
            <w:pPr>
              <w:pStyle w:val="8"/>
              <w:spacing w:before="265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4AEDD6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A07128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被告未实施垄断行为，无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需承担本案诉讼费用。</w:t>
            </w:r>
          </w:p>
        </w:tc>
      </w:tr>
      <w:tr w14:paraId="39F21D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B59153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EC4A6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CB377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E16E8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0209AA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C96FA9A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E4AA2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03531D">
            <w:pPr>
              <w:spacing w:before="80" w:line="222" w:lineRule="auto"/>
              <w:ind w:lef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山东省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网络股份有限公司未实施垄断行为，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不应承担有关法律责任。</w:t>
            </w:r>
          </w:p>
        </w:tc>
      </w:tr>
      <w:tr w14:paraId="163F05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93EE1A">
            <w:pPr>
              <w:pStyle w:val="8"/>
              <w:spacing w:before="253" w:line="263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1141E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093D94">
            <w:pPr>
              <w:pStyle w:val="8"/>
              <w:spacing w:before="71" w:line="214" w:lineRule="auto"/>
              <w:ind w:left="98" w:righ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不认可原告有权提起本案诉讼。原告对本案不具有诉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的利益，原告的诉讼请求应予裁定驳回，主要理由为：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…。</w:t>
            </w:r>
          </w:p>
        </w:tc>
      </w:tr>
      <w:tr w14:paraId="0AFF5F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CB26CB">
            <w:pPr>
              <w:spacing w:line="257" w:lineRule="auto"/>
              <w:rPr>
                <w:rFonts w:ascii="Arial"/>
                <w:sz w:val="21"/>
              </w:rPr>
            </w:pPr>
          </w:p>
          <w:p w14:paraId="44F05EF2">
            <w:pPr>
              <w:spacing w:line="257" w:lineRule="auto"/>
              <w:rPr>
                <w:rFonts w:ascii="Arial"/>
                <w:sz w:val="21"/>
              </w:rPr>
            </w:pPr>
          </w:p>
          <w:p w14:paraId="385D1D12">
            <w:pPr>
              <w:pStyle w:val="8"/>
              <w:spacing w:before="78" w:line="263" w:lineRule="auto"/>
              <w:ind w:left="84" w:right="84" w:firstLine="1"/>
            </w:pPr>
            <w:r>
              <w:rPr>
                <w:color w:val="231F20"/>
                <w:spacing w:val="-1"/>
              </w:rPr>
              <w:t>2. 对相关市场界定是否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0CD87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156174">
            <w:pPr>
              <w:pStyle w:val="8"/>
              <w:spacing w:before="66" w:line="241" w:lineRule="auto"/>
              <w:ind w:right="79" w:firstLine="1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本案相关市场为山东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省有线电视  ×× 服务市场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（包括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具体时间范围内的商品市场、地域市场）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。具体说明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2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…（见答辩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…）。（二）……（见答辩人证据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…）。（三）…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…）。</w:t>
            </w:r>
          </w:p>
        </w:tc>
      </w:tr>
      <w:tr w14:paraId="024D0B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8B0FD24">
            <w:pPr>
              <w:spacing w:line="241" w:lineRule="auto"/>
              <w:rPr>
                <w:rFonts w:ascii="Arial"/>
                <w:sz w:val="21"/>
              </w:rPr>
            </w:pPr>
          </w:p>
          <w:p w14:paraId="216356D4">
            <w:pPr>
              <w:spacing w:line="241" w:lineRule="auto"/>
              <w:rPr>
                <w:rFonts w:ascii="Arial"/>
                <w:sz w:val="21"/>
              </w:rPr>
            </w:pPr>
          </w:p>
          <w:p w14:paraId="1C3F60F0">
            <w:pPr>
              <w:spacing w:line="241" w:lineRule="auto"/>
              <w:rPr>
                <w:rFonts w:ascii="Arial"/>
                <w:sz w:val="21"/>
              </w:rPr>
            </w:pPr>
          </w:p>
          <w:p w14:paraId="56680826">
            <w:pPr>
              <w:spacing w:line="241" w:lineRule="auto"/>
              <w:rPr>
                <w:rFonts w:ascii="Arial"/>
                <w:sz w:val="21"/>
              </w:rPr>
            </w:pPr>
          </w:p>
          <w:p w14:paraId="0F3160A4">
            <w:pPr>
              <w:spacing w:line="241" w:lineRule="auto"/>
              <w:rPr>
                <w:rFonts w:ascii="Arial"/>
                <w:sz w:val="21"/>
              </w:rPr>
            </w:pPr>
          </w:p>
          <w:p w14:paraId="1B345A43">
            <w:pPr>
              <w:spacing w:line="241" w:lineRule="auto"/>
              <w:rPr>
                <w:rFonts w:ascii="Arial"/>
                <w:sz w:val="21"/>
              </w:rPr>
            </w:pPr>
          </w:p>
          <w:p w14:paraId="0FC0C484">
            <w:pPr>
              <w:spacing w:line="241" w:lineRule="auto"/>
              <w:rPr>
                <w:rFonts w:ascii="Arial"/>
                <w:sz w:val="21"/>
              </w:rPr>
            </w:pPr>
          </w:p>
          <w:p w14:paraId="4602A518">
            <w:pPr>
              <w:spacing w:line="242" w:lineRule="auto"/>
              <w:rPr>
                <w:rFonts w:ascii="Arial"/>
                <w:sz w:val="21"/>
              </w:rPr>
            </w:pPr>
          </w:p>
          <w:p w14:paraId="75747FB2">
            <w:pPr>
              <w:spacing w:line="242" w:lineRule="auto"/>
              <w:rPr>
                <w:rFonts w:ascii="Arial"/>
                <w:sz w:val="21"/>
              </w:rPr>
            </w:pPr>
          </w:p>
          <w:p w14:paraId="2A1DE023">
            <w:pPr>
              <w:spacing w:line="242" w:lineRule="auto"/>
              <w:rPr>
                <w:rFonts w:ascii="Arial"/>
                <w:sz w:val="21"/>
              </w:rPr>
            </w:pPr>
          </w:p>
          <w:p w14:paraId="1F110680">
            <w:pPr>
              <w:spacing w:line="242" w:lineRule="auto"/>
              <w:rPr>
                <w:rFonts w:ascii="Arial"/>
                <w:sz w:val="21"/>
              </w:rPr>
            </w:pPr>
          </w:p>
          <w:p w14:paraId="7AEEB114">
            <w:pPr>
              <w:spacing w:line="242" w:lineRule="auto"/>
              <w:rPr>
                <w:rFonts w:ascii="Arial"/>
                <w:sz w:val="21"/>
              </w:rPr>
            </w:pPr>
          </w:p>
          <w:p w14:paraId="60CFD764">
            <w:pPr>
              <w:pStyle w:val="8"/>
              <w:spacing w:before="79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对被诉垄断行为具体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62D6D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7EE856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被诉垄断行为不能成立，主要理由为：</w:t>
            </w:r>
          </w:p>
          <w:p w14:paraId="01FB86DF">
            <w:pPr>
              <w:spacing w:before="23" w:line="268" w:lineRule="auto"/>
              <w:ind w:left="135" w:right="85" w:firstLine="25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>（一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>）被告未达成 / 实施垄断协议。具体分析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2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>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…）。</w:t>
            </w:r>
          </w:p>
          <w:p w14:paraId="474A59AE">
            <w:pPr>
              <w:spacing w:before="19" w:line="253" w:lineRule="auto"/>
              <w:ind w:left="135" w:right="87" w:firstLine="23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（二）涉案协议不具有排除、限制竞争效果。具体分析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6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>×-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>×：……）。</w:t>
            </w:r>
          </w:p>
          <w:p w14:paraId="2522B6B6">
            <w:pPr>
              <w:spacing w:before="53" w:line="248" w:lineRule="auto"/>
              <w:ind w:left="385" w:right="261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（三）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…）。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（适用于垄断协议纠纷）</w:t>
            </w:r>
          </w:p>
        </w:tc>
      </w:tr>
      <w:tr w14:paraId="329A60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9815AF4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7C2F8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36AE0DB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被诉垄断行为不能成立，主要理由为：</w:t>
            </w:r>
          </w:p>
          <w:p w14:paraId="0437F283">
            <w:pPr>
              <w:spacing w:before="24" w:line="252" w:lineRule="auto"/>
              <w:ind w:left="135" w:right="84" w:firstLine="25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（一 ）被告不具有市场支配地位。具体分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析：被告在山东省有线电视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服务市场内不具有市场支配地位。（见答辩人证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…）。</w:t>
            </w:r>
          </w:p>
          <w:p w14:paraId="1CDD0330">
            <w:pPr>
              <w:spacing w:before="56" w:line="259" w:lineRule="auto"/>
              <w:ind w:left="81" w:right="85" w:firstLine="3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（二）被告未实施拒绝交易和捆绑交易的行为。具体分析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9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一）被告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未实施拒绝交易的行为。（见答辩人证据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…）。（二）被告未实施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捆绑交易的行为。（见答辩人证据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…）。</w:t>
            </w:r>
          </w:p>
          <w:p w14:paraId="19F26E05">
            <w:pPr>
              <w:spacing w:before="62" w:line="253" w:lineRule="auto"/>
              <w:ind w:left="81" w:right="85" w:firstLine="3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（三）涉案行为不具有排除、限制竞争效果。具体分析：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……。（见答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辩人证据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…）</w:t>
            </w:r>
          </w:p>
          <w:p w14:paraId="367F05AC">
            <w:pPr>
              <w:spacing w:before="53" w:line="247" w:lineRule="auto"/>
              <w:ind w:left="385" w:right="261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（四）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…）。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（适用于滥用市场支配地位纠纷）</w:t>
            </w:r>
          </w:p>
        </w:tc>
      </w:tr>
      <w:tr w14:paraId="698AEA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B93EC6">
            <w:pPr>
              <w:pStyle w:val="8"/>
              <w:spacing w:before="90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6914B1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58D33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8D15D32">
      <w:pPr>
        <w:pStyle w:val="2"/>
      </w:pPr>
    </w:p>
    <w:p w14:paraId="6F878B2C">
      <w:pPr>
        <w:sectPr>
          <w:footerReference r:id="rId8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54C755A3">
      <w:pPr>
        <w:spacing w:before="41"/>
      </w:pPr>
    </w:p>
    <w:p w14:paraId="52AEDD21">
      <w:pPr>
        <w:spacing w:before="41"/>
      </w:pPr>
    </w:p>
    <w:p w14:paraId="7B40E123">
      <w:pPr>
        <w:spacing w:before="41"/>
      </w:pPr>
    </w:p>
    <w:p w14:paraId="19357C2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13751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6BE5ED">
            <w:pPr>
              <w:spacing w:line="342" w:lineRule="auto"/>
              <w:rPr>
                <w:rFonts w:ascii="Arial"/>
                <w:sz w:val="21"/>
              </w:rPr>
            </w:pPr>
          </w:p>
          <w:p w14:paraId="3B0AE2D2">
            <w:pPr>
              <w:pStyle w:val="8"/>
              <w:spacing w:before="78" w:line="263" w:lineRule="auto"/>
              <w:ind w:left="81" w:right="84" w:firstLine="3"/>
            </w:pPr>
            <w:r>
              <w:rPr>
                <w:color w:val="231F20"/>
                <w:spacing w:val="-1"/>
              </w:rPr>
              <w:t>5. 对赔偿数额和具体赔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ADA4A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F4BF11">
            <w:pPr>
              <w:pStyle w:val="8"/>
              <w:spacing w:before="73" w:line="232" w:lineRule="auto"/>
              <w:ind w:left="95" w:right="91" w:hanging="1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被告未实施垄断行为，无需赔偿经济损失、维权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合理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开支。/ 原告主张的赔偿数额过高，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…（见答辩人证据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……，第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>页）。</w:t>
            </w:r>
          </w:p>
        </w:tc>
      </w:tr>
      <w:tr w14:paraId="540663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66C05B">
            <w:pPr>
              <w:pStyle w:val="8"/>
              <w:spacing w:before="253" w:line="209" w:lineRule="auto"/>
              <w:ind w:left="86"/>
            </w:pPr>
            <w:r>
              <w:rPr>
                <w:color w:val="231F20"/>
                <w:spacing w:val="-1"/>
              </w:rPr>
              <w:t>6.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58F07B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FDA26E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D48A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B1E9CD">
            <w:pPr>
              <w:pStyle w:val="8"/>
              <w:spacing w:before="83" w:line="209" w:lineRule="auto"/>
              <w:ind w:left="84"/>
            </w:pPr>
            <w:r>
              <w:rPr>
                <w:color w:val="231F20"/>
                <w:spacing w:val="-1"/>
              </w:rPr>
              <w:t>7.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E0BE2B">
            <w:pPr>
              <w:spacing w:before="175" w:line="167" w:lineRule="exact"/>
              <w:ind w:left="1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</w:tc>
      </w:tr>
      <w:tr w14:paraId="036AB0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2478F6">
            <w:pPr>
              <w:spacing w:before="81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37179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F23231">
            <w:pPr>
              <w:pStyle w:val="8"/>
              <w:spacing w:before="92" w:line="176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（详见附件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412BAE83">
            <w:pPr>
              <w:spacing w:before="38" w:line="267" w:lineRule="auto"/>
              <w:ind w:left="85" w:right="92" w:firstLine="4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截至目前，被告未被反垄断执法机构作出处罚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被告相关垄断行为 ……，反垄断执法机构正在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调查 / 作出处罚。具体情况：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…。</w:t>
            </w:r>
          </w:p>
          <w:p w14:paraId="6DCFB67E">
            <w:pPr>
              <w:pStyle w:val="8"/>
              <w:spacing w:before="22" w:line="210" w:lineRule="auto"/>
              <w:ind w:left="555"/>
            </w:pPr>
            <w:r>
              <w:rPr>
                <w:color w:val="231F20"/>
                <w:spacing w:val="-7"/>
              </w:rPr>
              <w:t>× 件垄断民事案件。具体情况：</w:t>
            </w:r>
          </w:p>
          <w:p w14:paraId="7955D0A6">
            <w:pPr>
              <w:pStyle w:val="8"/>
              <w:spacing w:before="65" w:line="238" w:lineRule="auto"/>
              <w:ind w:left="82" w:right="5880" w:firstLine="473"/>
            </w:pPr>
            <w:r>
              <w:rPr>
                <w:color w:val="231F20"/>
                <w:spacing w:val="-7"/>
              </w:rPr>
              <w:t>× 件其他关联案件。具体情况：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AE31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76C06B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71BB84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C394EC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7137FA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3FD8B3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3E2699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8D6051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2AFF648A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6DDD0520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1927C7F8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7E7670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76E68B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E0E01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02B16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134E0C">
            <w:pPr>
              <w:spacing w:line="259" w:lineRule="auto"/>
              <w:rPr>
                <w:rFonts w:ascii="Arial"/>
                <w:sz w:val="21"/>
              </w:rPr>
            </w:pPr>
          </w:p>
          <w:p w14:paraId="13C4279D">
            <w:pPr>
              <w:spacing w:line="259" w:lineRule="auto"/>
              <w:rPr>
                <w:rFonts w:ascii="Arial"/>
                <w:sz w:val="21"/>
              </w:rPr>
            </w:pPr>
          </w:p>
          <w:p w14:paraId="746F6412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FB2DD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FEA152">
            <w:pPr>
              <w:spacing w:line="272" w:lineRule="auto"/>
              <w:rPr>
                <w:rFonts w:ascii="Arial"/>
                <w:sz w:val="21"/>
              </w:rPr>
            </w:pPr>
          </w:p>
          <w:p w14:paraId="377A212B">
            <w:pPr>
              <w:spacing w:line="272" w:lineRule="auto"/>
              <w:rPr>
                <w:rFonts w:ascii="Arial"/>
                <w:sz w:val="21"/>
              </w:rPr>
            </w:pPr>
          </w:p>
          <w:p w14:paraId="32E175AD">
            <w:pPr>
              <w:spacing w:line="272" w:lineRule="auto"/>
              <w:rPr>
                <w:rFonts w:ascii="Arial"/>
                <w:sz w:val="21"/>
              </w:rPr>
            </w:pPr>
          </w:p>
          <w:p w14:paraId="002BB9BA">
            <w:pPr>
              <w:spacing w:line="272" w:lineRule="auto"/>
              <w:rPr>
                <w:rFonts w:ascii="Arial"/>
                <w:sz w:val="21"/>
              </w:rPr>
            </w:pPr>
          </w:p>
          <w:p w14:paraId="46A25B23">
            <w:pPr>
              <w:spacing w:line="273" w:lineRule="auto"/>
              <w:rPr>
                <w:rFonts w:ascii="Arial"/>
                <w:sz w:val="21"/>
              </w:rPr>
            </w:pPr>
          </w:p>
          <w:p w14:paraId="6C0CBD04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D667B4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C4DAAC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AF050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6B386D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E6E5E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88B5BC2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8590A08">
      <w:pPr>
        <w:pStyle w:val="2"/>
      </w:pPr>
    </w:p>
    <w:p w14:paraId="74EA529E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F86958E">
      <w:pPr>
        <w:spacing w:before="41"/>
      </w:pPr>
    </w:p>
    <w:p w14:paraId="72FD7510">
      <w:pPr>
        <w:spacing w:before="41"/>
      </w:pPr>
    </w:p>
    <w:p w14:paraId="62ADDF2C">
      <w:pPr>
        <w:spacing w:before="41"/>
      </w:pPr>
    </w:p>
    <w:p w14:paraId="1CD6BDB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E60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B40C88">
            <w:pPr>
              <w:spacing w:line="342" w:lineRule="auto"/>
              <w:rPr>
                <w:rFonts w:ascii="Arial"/>
                <w:sz w:val="21"/>
              </w:rPr>
            </w:pPr>
          </w:p>
          <w:p w14:paraId="6DC1C77B">
            <w:pPr>
              <w:spacing w:line="342" w:lineRule="auto"/>
              <w:rPr>
                <w:rFonts w:ascii="Arial"/>
                <w:sz w:val="21"/>
              </w:rPr>
            </w:pPr>
          </w:p>
          <w:p w14:paraId="64653B9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AD5AAC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9582D8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755FF7D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8705B2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369B0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66C1B59">
            <w:pPr>
              <w:spacing w:line="350" w:lineRule="auto"/>
              <w:rPr>
                <w:rFonts w:ascii="Arial"/>
                <w:sz w:val="21"/>
              </w:rPr>
            </w:pPr>
          </w:p>
          <w:p w14:paraId="5BFC9DE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5B913B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204282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D8DA25E"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潘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山东省  ××</w:t>
      </w:r>
      <w:r>
        <w:rPr>
          <w:rFonts w:ascii="方正楷体_GBK" w:hAnsi="方正楷体_GBK" w:eastAsia="方正楷体_GBK" w:cs="方正楷体_GBK"/>
          <w:color w:val="231F20"/>
          <w:spacing w:val="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网络股份有限公司</w:t>
      </w:r>
    </w:p>
    <w:p w14:paraId="106C2471">
      <w:pPr>
        <w:spacing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00EB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16EC2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19332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8FB34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AB2A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F7E0D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F75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A90A53"/>
    <w:rsid w:val="1BB82A97"/>
    <w:rsid w:val="1DAE4148"/>
    <w:rsid w:val="26B62EF1"/>
    <w:rsid w:val="2DC428BB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2845</Words>
  <Characters>2884</Characters>
  <TotalTime>59</TotalTime>
  <ScaleCrop>false</ScaleCrop>
  <LinksUpToDate>false</LinksUpToDate>
  <CharactersWithSpaces>3619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2B6F7E92F8BA4C3CAFD06392DF9B3CDB_13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