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F2EFA">
      <w:pPr>
        <w:pStyle w:val="2"/>
        <w:spacing w:line="242" w:lineRule="auto"/>
      </w:pPr>
      <w:bookmarkStart w:id="4" w:name="_GoBack"/>
      <w:bookmarkEnd w:id="4"/>
    </w:p>
    <w:p w14:paraId="06435264">
      <w:pPr>
        <w:pStyle w:val="2"/>
        <w:spacing w:line="243" w:lineRule="auto"/>
      </w:pPr>
    </w:p>
    <w:p w14:paraId="13CBF416">
      <w:pPr>
        <w:pStyle w:val="2"/>
        <w:spacing w:line="243" w:lineRule="auto"/>
      </w:pPr>
    </w:p>
    <w:p w14:paraId="344DA6A6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B074231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18892B18">
      <w:pPr>
        <w:spacing w:before="45" w:line="23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（行政补偿）</w:t>
      </w:r>
    </w:p>
    <w:p w14:paraId="6F2A7162">
      <w:pPr>
        <w:spacing w:line="171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F3F3C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1D33E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588534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1A9E589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172C80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2E8DBCC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27A9F610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89B8677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D4E8AF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F35961B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2ACC3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7FEC1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DC733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D7F214">
            <w:pPr>
              <w:spacing w:line="256" w:lineRule="auto"/>
              <w:rPr>
                <w:rFonts w:ascii="Arial"/>
                <w:sz w:val="21"/>
              </w:rPr>
            </w:pPr>
          </w:p>
          <w:p w14:paraId="0B32127A">
            <w:pPr>
              <w:spacing w:line="256" w:lineRule="auto"/>
              <w:rPr>
                <w:rFonts w:ascii="Arial"/>
                <w:sz w:val="21"/>
              </w:rPr>
            </w:pPr>
          </w:p>
          <w:p w14:paraId="5FF024FD">
            <w:pPr>
              <w:spacing w:line="256" w:lineRule="auto"/>
              <w:rPr>
                <w:rFonts w:ascii="Arial"/>
                <w:sz w:val="21"/>
              </w:rPr>
            </w:pPr>
          </w:p>
          <w:p w14:paraId="56E503C4">
            <w:pPr>
              <w:spacing w:line="256" w:lineRule="auto"/>
              <w:rPr>
                <w:rFonts w:ascii="Arial"/>
                <w:sz w:val="21"/>
              </w:rPr>
            </w:pPr>
          </w:p>
          <w:p w14:paraId="45C6CACC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EC5330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CDF4C2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2A5DB98">
            <w:pPr>
              <w:pStyle w:val="8"/>
              <w:spacing w:before="78" w:line="173" w:lineRule="auto"/>
              <w:ind w:left="8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□</w:t>
            </w:r>
          </w:p>
          <w:p w14:paraId="7903F57F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49C7B991">
            <w:pPr>
              <w:pStyle w:val="8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  <w:color w:val="231F20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</w:p>
          <w:p w14:paraId="625EE2A7">
            <w:pPr>
              <w:pStyle w:val="8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省  ×× 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村  ×× 号</w:t>
            </w:r>
          </w:p>
          <w:p w14:paraId="6E6731B0">
            <w:pPr>
              <w:pStyle w:val="8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1C5B410B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2663AF2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149A1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E799D1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61B2A9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73E4D5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8D33A6B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158B26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 w14:paraId="291A6A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187EAA">
            <w:pPr>
              <w:spacing w:line="347" w:lineRule="auto"/>
              <w:rPr>
                <w:rFonts w:ascii="Arial"/>
                <w:sz w:val="21"/>
              </w:rPr>
            </w:pPr>
          </w:p>
          <w:p w14:paraId="39C3B565">
            <w:pPr>
              <w:spacing w:line="347" w:lineRule="auto"/>
              <w:rPr>
                <w:rFonts w:ascii="Arial"/>
                <w:sz w:val="21"/>
              </w:rPr>
            </w:pPr>
          </w:p>
          <w:p w14:paraId="242B61EC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4D150A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1965B4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045F64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112295DD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2A0AAE2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</w:p>
        </w:tc>
      </w:tr>
    </w:tbl>
    <w:p w14:paraId="2504F4E4">
      <w:pPr>
        <w:pStyle w:val="2"/>
      </w:pPr>
    </w:p>
    <w:p w14:paraId="65AECBC5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57C2526">
      <w:pPr>
        <w:spacing w:before="41"/>
      </w:pPr>
    </w:p>
    <w:p w14:paraId="0A9608C8">
      <w:pPr>
        <w:spacing w:before="41"/>
      </w:pPr>
    </w:p>
    <w:p w14:paraId="6EE32B53">
      <w:pPr>
        <w:spacing w:before="41"/>
      </w:pPr>
    </w:p>
    <w:p w14:paraId="4575BA6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7E76A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260A71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851707D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375CA2A2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048CC424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10ACB5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42211078">
            <w:pPr>
              <w:pStyle w:val="8"/>
              <w:spacing w:before="39" w:line="258" w:lineRule="auto"/>
              <w:ind w:left="84" w:right="818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×× 省  ×× 县  ×× 街道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李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6E13636D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793FAF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7A5F93">
            <w:pPr>
              <w:spacing w:line="254" w:lineRule="auto"/>
              <w:rPr>
                <w:rFonts w:ascii="Arial"/>
                <w:sz w:val="21"/>
              </w:rPr>
            </w:pPr>
          </w:p>
          <w:p w14:paraId="134869F2">
            <w:pPr>
              <w:spacing w:line="255" w:lineRule="auto"/>
              <w:rPr>
                <w:rFonts w:ascii="Arial"/>
                <w:sz w:val="21"/>
              </w:rPr>
            </w:pPr>
          </w:p>
          <w:p w14:paraId="3A29D3A0">
            <w:pPr>
              <w:spacing w:line="255" w:lineRule="auto"/>
              <w:rPr>
                <w:rFonts w:ascii="Arial"/>
                <w:sz w:val="21"/>
              </w:rPr>
            </w:pPr>
          </w:p>
          <w:p w14:paraId="2CCFEAF0">
            <w:pPr>
              <w:spacing w:line="255" w:lineRule="auto"/>
              <w:rPr>
                <w:rFonts w:ascii="Arial"/>
                <w:sz w:val="21"/>
              </w:rPr>
            </w:pPr>
          </w:p>
          <w:p w14:paraId="7D444A8C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5F9BDC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5A4FB4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0D10A80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08C4276A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8B25EE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54AC126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63A1A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69EAA0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DC4651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27307C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490732D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6FF410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 w14:paraId="3AD8E1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615031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82A32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4EC151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70F20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75589A">
            <w:pPr>
              <w:pStyle w:val="8"/>
              <w:spacing w:before="100" w:line="205" w:lineRule="auto"/>
              <w:ind w:left="85" w:right="84" w:firstLine="17"/>
            </w:pPr>
            <w:r>
              <w:rPr>
                <w:color w:val="231F20"/>
                <w:spacing w:val="-5"/>
              </w:rPr>
              <w:t>1.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房屋征收或者征用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E5E9F83">
            <w:pPr>
              <w:pStyle w:val="8"/>
              <w:spacing w:before="98" w:line="171" w:lineRule="auto"/>
              <w:ind w:left="99"/>
            </w:pPr>
            <w:r>
              <w:rPr>
                <w:rFonts w:hint="eastAsia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□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撤销或者变更补偿决定</w:t>
            </w:r>
          </w:p>
          <w:p w14:paraId="10D9A209">
            <w:pPr>
              <w:pStyle w:val="8"/>
              <w:spacing w:before="48" w:line="208" w:lineRule="auto"/>
              <w:ind w:left="100"/>
            </w:pPr>
            <w:r>
              <w:rPr>
                <w:color w:val="231F20"/>
                <w:spacing w:val="-3"/>
              </w:rPr>
              <w:t>□确认补偿决定违法</w:t>
            </w:r>
          </w:p>
          <w:p w14:paraId="2C9B30C2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3"/>
              </w:rPr>
              <w:t>□确认补偿决定无效</w:t>
            </w:r>
          </w:p>
          <w:p w14:paraId="46E94276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□要求行政机关予以补偿</w:t>
            </w:r>
          </w:p>
          <w:p w14:paraId="663871B5">
            <w:pPr>
              <w:spacing w:line="250" w:lineRule="auto"/>
              <w:rPr>
                <w:rFonts w:ascii="Arial"/>
                <w:sz w:val="21"/>
              </w:rPr>
            </w:pPr>
          </w:p>
          <w:p w14:paraId="75E735F2">
            <w:pPr>
              <w:spacing w:line="250" w:lineRule="auto"/>
              <w:rPr>
                <w:rFonts w:ascii="Arial"/>
                <w:sz w:val="21"/>
              </w:rPr>
            </w:pPr>
          </w:p>
          <w:p w14:paraId="3235DA5B">
            <w:pPr>
              <w:spacing w:line="250" w:lineRule="auto"/>
              <w:rPr>
                <w:rFonts w:ascii="Arial"/>
                <w:sz w:val="21"/>
              </w:rPr>
            </w:pPr>
          </w:p>
          <w:p w14:paraId="4DCEE6E6">
            <w:pPr>
              <w:spacing w:line="251" w:lineRule="auto"/>
              <w:rPr>
                <w:rFonts w:ascii="Arial"/>
                <w:sz w:val="21"/>
              </w:rPr>
            </w:pPr>
          </w:p>
          <w:p w14:paraId="169374FE">
            <w:pPr>
              <w:pStyle w:val="8"/>
              <w:spacing w:before="79" w:line="210" w:lineRule="auto"/>
              <w:ind w:left="83"/>
            </w:pPr>
            <w:r>
              <w:rPr>
                <w:color w:val="231F20"/>
                <w:spacing w:val="-1"/>
              </w:rPr>
              <w:t>具体内容：撤销补偿决定</w:t>
            </w:r>
          </w:p>
        </w:tc>
      </w:tr>
      <w:tr w14:paraId="0C09E8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7274AD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□土地征收或者征用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2F3DA888">
            <w:pPr>
              <w:rPr>
                <w:rFonts w:ascii="Arial"/>
                <w:sz w:val="21"/>
              </w:rPr>
            </w:pPr>
          </w:p>
        </w:tc>
      </w:tr>
      <w:tr w14:paraId="69D479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AB90F9">
            <w:pPr>
              <w:pStyle w:val="8"/>
              <w:spacing w:before="88" w:line="236" w:lineRule="auto"/>
              <w:ind w:left="85" w:right="84" w:firstLine="3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□动产征收或者征用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0875EB46">
            <w:pPr>
              <w:rPr>
                <w:rFonts w:ascii="Arial"/>
                <w:sz w:val="21"/>
              </w:rPr>
            </w:pPr>
          </w:p>
        </w:tc>
      </w:tr>
      <w:tr w14:paraId="381D17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93BEBF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□撤回行政许可补偿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64683B53">
            <w:pPr>
              <w:rPr>
                <w:rFonts w:ascii="Arial"/>
                <w:sz w:val="21"/>
              </w:rPr>
            </w:pPr>
          </w:p>
        </w:tc>
      </w:tr>
      <w:tr w14:paraId="11E8BB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D83D2B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□收回国有土地使用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1F440E54">
            <w:pPr>
              <w:rPr>
                <w:rFonts w:ascii="Arial"/>
                <w:sz w:val="21"/>
              </w:rPr>
            </w:pPr>
          </w:p>
        </w:tc>
      </w:tr>
      <w:tr w14:paraId="111892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6195D7">
            <w:pPr>
              <w:pStyle w:val="8"/>
              <w:spacing w:before="158" w:line="208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□规划变更补偿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E00B9EB">
            <w:pPr>
              <w:rPr>
                <w:rFonts w:ascii="Arial"/>
                <w:sz w:val="21"/>
              </w:rPr>
            </w:pPr>
          </w:p>
        </w:tc>
      </w:tr>
      <w:tr w14:paraId="552B92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E8CB34">
            <w:pPr>
              <w:pStyle w:val="8"/>
              <w:spacing w:before="259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E2750E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0F65E9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3DE247">
            <w:pPr>
              <w:pStyle w:val="8"/>
              <w:spacing w:before="87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22DE37">
            <w:pPr>
              <w:rPr>
                <w:rFonts w:ascii="Arial"/>
                <w:sz w:val="21"/>
              </w:rPr>
            </w:pPr>
          </w:p>
        </w:tc>
      </w:tr>
      <w:tr w14:paraId="0B91C0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642A0C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12C48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746DF6">
            <w:pPr>
              <w:spacing w:before="84" w:line="227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被诉补偿决定中评估价格过低、安置面积错误。</w:t>
            </w:r>
          </w:p>
        </w:tc>
      </w:tr>
      <w:tr w14:paraId="4892A5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DC053D">
            <w:pPr>
              <w:pStyle w:val="8"/>
              <w:spacing w:before="90" w:line="236" w:lineRule="auto"/>
              <w:ind w:left="86" w:right="84" w:firstLine="16"/>
            </w:pPr>
            <w:r>
              <w:rPr>
                <w:color w:val="231F20"/>
                <w:spacing w:val="-2"/>
              </w:rPr>
              <w:t>1. 被告作出补偿决定的文号及时间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72E0AB">
            <w:pPr>
              <w:pStyle w:val="8"/>
              <w:spacing w:before="84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政征补字〔2022〕× 号</w:t>
            </w:r>
          </w:p>
          <w:p w14:paraId="439AF7DE">
            <w:pPr>
              <w:pStyle w:val="8"/>
              <w:spacing w:before="42" w:line="216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16  日</w:t>
            </w:r>
          </w:p>
        </w:tc>
      </w:tr>
    </w:tbl>
    <w:p w14:paraId="699943C3">
      <w:pPr>
        <w:pStyle w:val="2"/>
      </w:pPr>
    </w:p>
    <w:p w14:paraId="3EBB940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1DB2A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CDB706">
            <w:pPr>
              <w:pStyle w:val="8"/>
              <w:spacing w:before="87" w:line="237" w:lineRule="auto"/>
              <w:ind w:left="81" w:right="84" w:firstLine="3"/>
            </w:pPr>
            <w:r>
              <w:rPr>
                <w:color w:val="231F20"/>
                <w:spacing w:val="-1"/>
              </w:rPr>
              <w:t>2. 原告知道被告作出补偿决定的时间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D35692">
            <w:pPr>
              <w:spacing w:before="251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27  日</w:t>
            </w:r>
          </w:p>
        </w:tc>
      </w:tr>
      <w:tr w14:paraId="28D06B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6438EC">
            <w:pPr>
              <w:spacing w:line="353" w:lineRule="auto"/>
              <w:rPr>
                <w:rFonts w:ascii="Arial"/>
                <w:sz w:val="21"/>
              </w:rPr>
            </w:pPr>
          </w:p>
          <w:p w14:paraId="2944723A">
            <w:pPr>
              <w:pStyle w:val="8"/>
              <w:spacing w:before="78" w:line="262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原告或他人是否对案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涉房屋征收决定提起</w:t>
            </w:r>
            <w:r>
              <w:rPr>
                <w:color w:val="231F20"/>
                <w:spacing w:val="-1"/>
              </w:rPr>
              <w:t>行政诉讼及裁判结果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F6E2CC">
            <w:pPr>
              <w:pStyle w:val="8"/>
              <w:spacing w:before="89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 w14:paraId="3B832BF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7"/>
              </w:rPr>
              <w:t>裁判结果：</w:t>
            </w:r>
          </w:p>
          <w:p w14:paraId="2408A945">
            <w:pPr>
              <w:spacing w:line="333" w:lineRule="auto"/>
              <w:rPr>
                <w:rFonts w:ascii="Arial"/>
                <w:sz w:val="21"/>
              </w:rPr>
            </w:pPr>
          </w:p>
          <w:p w14:paraId="0DC7A7D8">
            <w:pPr>
              <w:spacing w:line="333" w:lineRule="auto"/>
              <w:rPr>
                <w:rFonts w:ascii="Arial"/>
                <w:sz w:val="21"/>
              </w:rPr>
            </w:pPr>
          </w:p>
          <w:p w14:paraId="76A7B3A1">
            <w:pPr>
              <w:pStyle w:val="8"/>
              <w:spacing w:before="98" w:line="164" w:lineRule="auto"/>
              <w:ind w:left="125"/>
            </w:pP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5D4C12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EC46C2">
            <w:pPr>
              <w:pStyle w:val="8"/>
              <w:spacing w:before="255" w:line="262" w:lineRule="auto"/>
              <w:ind w:left="81" w:right="84"/>
            </w:pPr>
            <w:r>
              <w:rPr>
                <w:color w:val="231F20"/>
                <w:spacing w:val="-1"/>
              </w:rPr>
              <w:t>4. 被告是否具有作出补偿决定的职权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D13214">
            <w:pPr>
              <w:pStyle w:val="8"/>
              <w:spacing w:before="99" w:line="225" w:lineRule="auto"/>
              <w:ind w:left="100" w:right="6492" w:firstLine="24"/>
            </w:pP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 w14:paraId="26EACDD7">
            <w:pPr>
              <w:pStyle w:val="8"/>
              <w:spacing w:line="210" w:lineRule="auto"/>
              <w:ind w:left="83"/>
            </w:pPr>
            <w:r>
              <w:rPr>
                <w:color w:val="231F20"/>
                <w:spacing w:val="-7"/>
              </w:rPr>
              <w:t>具体理由：</w:t>
            </w:r>
          </w:p>
        </w:tc>
      </w:tr>
      <w:tr w14:paraId="570399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99F4FF">
            <w:pPr>
              <w:pStyle w:val="8"/>
              <w:spacing w:before="87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原告对被告决定的补</w:t>
            </w:r>
            <w:r>
              <w:rPr>
                <w:color w:val="231F20"/>
                <w:spacing w:val="22"/>
              </w:rPr>
              <w:t>偿金额和支付期限有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3198C6">
            <w:pPr>
              <w:pStyle w:val="8"/>
              <w:spacing w:before="99" w:line="170" w:lineRule="auto"/>
              <w:ind w:left="125"/>
            </w:pP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color w:val="231F20"/>
                <w:spacing w:val="6"/>
              </w:rPr>
              <w:t>有</w:t>
            </w:r>
          </w:p>
          <w:p w14:paraId="08E22E97">
            <w:pPr>
              <w:pStyle w:val="8"/>
              <w:spacing w:before="43" w:line="238" w:lineRule="auto"/>
              <w:ind w:left="100" w:right="4676" w:hanging="17"/>
            </w:pPr>
            <w:r>
              <w:rPr>
                <w:color w:val="231F20"/>
                <w:spacing w:val="-1"/>
              </w:rPr>
              <w:t>具体理由：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评估价格过低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22E560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F4D482">
            <w:pPr>
              <w:pStyle w:val="8"/>
              <w:spacing w:before="87" w:line="244" w:lineRule="auto"/>
              <w:ind w:left="86" w:right="84"/>
              <w:jc w:val="both"/>
            </w:pPr>
            <w:r>
              <w:rPr>
                <w:color w:val="231F20"/>
                <w:spacing w:val="-1"/>
              </w:rPr>
              <w:t>6. 原告对被告决定的用</w:t>
            </w:r>
            <w:r>
              <w:rPr>
                <w:color w:val="231F20"/>
                <w:spacing w:val="22"/>
              </w:rPr>
              <w:t>于产权调换房屋的地</w:t>
            </w:r>
            <w:r>
              <w:rPr>
                <w:color w:val="231F20"/>
                <w:spacing w:val="-1"/>
              </w:rPr>
              <w:t>点和面积有无异议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31A6FC">
            <w:pPr>
              <w:pStyle w:val="8"/>
              <w:spacing w:before="100" w:line="170" w:lineRule="auto"/>
              <w:ind w:left="99"/>
            </w:pP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color w:val="231F20"/>
                <w:spacing w:val="6"/>
              </w:rPr>
              <w:t>有</w:t>
            </w:r>
          </w:p>
          <w:p w14:paraId="120E4AE7">
            <w:pPr>
              <w:pStyle w:val="8"/>
              <w:spacing w:before="45" w:line="237" w:lineRule="auto"/>
              <w:ind w:left="100" w:right="4676" w:hanging="17"/>
            </w:pPr>
            <w:r>
              <w:rPr>
                <w:color w:val="231F20"/>
                <w:spacing w:val="-1"/>
              </w:rPr>
              <w:t>具体理由：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安置面积错误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5F172B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3171B1">
            <w:pPr>
              <w:pStyle w:val="8"/>
              <w:spacing w:before="88" w:line="248" w:lineRule="auto"/>
              <w:ind w:left="83"/>
              <w:jc w:val="both"/>
            </w:pPr>
            <w:r>
              <w:rPr>
                <w:color w:val="231F20"/>
                <w:spacing w:val="18"/>
              </w:rPr>
              <w:t>7. 原告对被告决定的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搬迁费、临时安置费、 </w:t>
            </w:r>
            <w:r>
              <w:rPr>
                <w:color w:val="231F20"/>
                <w:spacing w:val="21"/>
              </w:rPr>
              <w:t>签约奖励费、营业损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失等有无异议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BFFDF3">
            <w:pPr>
              <w:pStyle w:val="8"/>
              <w:spacing w:before="252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 w14:paraId="69A8CE43">
            <w:pPr>
              <w:pStyle w:val="8"/>
              <w:spacing w:before="64" w:line="243" w:lineRule="auto"/>
              <w:ind w:left="98" w:right="5974" w:hanging="15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color w:val="231F20"/>
                <w:spacing w:val="5"/>
              </w:rPr>
              <w:t>无</w:t>
            </w:r>
          </w:p>
        </w:tc>
      </w:tr>
      <w:tr w14:paraId="70F49A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C5EAD7">
            <w:pPr>
              <w:pStyle w:val="8"/>
              <w:spacing w:before="99" w:line="246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原告对被告决定的搬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迁期限、过渡方式和</w:t>
            </w:r>
            <w:r>
              <w:rPr>
                <w:color w:val="231F20"/>
                <w:spacing w:val="-1"/>
              </w:rPr>
              <w:t>过渡期限有无异议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CC164C">
            <w:pPr>
              <w:pStyle w:val="8"/>
              <w:spacing w:before="93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 w14:paraId="2FAEAB6F">
            <w:pPr>
              <w:pStyle w:val="8"/>
              <w:spacing w:before="64" w:line="216" w:lineRule="auto"/>
              <w:ind w:left="98" w:right="5974" w:hanging="15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color w:val="231F20"/>
                <w:spacing w:val="5"/>
              </w:rPr>
              <w:t>无</w:t>
            </w:r>
          </w:p>
        </w:tc>
      </w:tr>
      <w:tr w14:paraId="1A12A4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41190C">
            <w:pPr>
              <w:pStyle w:val="8"/>
              <w:spacing w:before="99" w:line="246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9. 是否就同一争议申请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615274">
            <w:pPr>
              <w:pStyle w:val="8"/>
              <w:spacing w:before="89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0025673E">
            <w:pPr>
              <w:spacing w:line="328" w:lineRule="auto"/>
              <w:rPr>
                <w:rFonts w:ascii="Arial"/>
                <w:sz w:val="21"/>
              </w:rPr>
            </w:pPr>
          </w:p>
          <w:p w14:paraId="05C21CEB">
            <w:pPr>
              <w:pStyle w:val="8"/>
              <w:spacing w:before="98" w:line="164" w:lineRule="auto"/>
              <w:ind w:left="125"/>
            </w:pP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6D3A4F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E88816">
            <w:pPr>
              <w:pStyle w:val="8"/>
              <w:spacing w:before="90" w:line="235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054E85">
            <w:pPr>
              <w:rPr>
                <w:rFonts w:ascii="Arial"/>
                <w:sz w:val="21"/>
              </w:rPr>
            </w:pPr>
          </w:p>
        </w:tc>
      </w:tr>
      <w:tr w14:paraId="633E26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BCA8795">
            <w:pPr>
              <w:pStyle w:val="8"/>
              <w:spacing w:before="263" w:line="262" w:lineRule="auto"/>
              <w:ind w:left="91" w:right="84" w:firstLine="11"/>
            </w:pPr>
            <w:r>
              <w:rPr>
                <w:color w:val="231F20"/>
                <w:spacing w:val="6"/>
              </w:rPr>
              <w:t>11. 证据清单（可另附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A8EBF6">
            <w:pPr>
              <w:pStyle w:val="8"/>
              <w:spacing w:before="93" w:line="208" w:lineRule="auto"/>
              <w:ind w:left="103"/>
            </w:pPr>
            <w:r>
              <w:rPr>
                <w:color w:val="231F20"/>
                <w:spacing w:val="-3"/>
              </w:rPr>
              <w:t>1. 补偿决定</w:t>
            </w:r>
          </w:p>
          <w:p w14:paraId="4C6E11D5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应予补偿的证明材料</w:t>
            </w:r>
          </w:p>
          <w:p w14:paraId="42A4DF23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1F8EA4A4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4FFED3E2">
      <w:pPr>
        <w:pStyle w:val="2"/>
        <w:spacing w:line="273" w:lineRule="auto"/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D30B908-6C5C-4800-B426-6DD03002E19B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CFCCB1F0-02B8-4966-8BD3-648B8D04C6E6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D5E1A0D4-0431-4AD6-92EC-35C251DDE771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E858E19F-1F63-4150-A40A-E878BA422064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BEA15CCD-7565-4E0B-8FF5-2C63A0DEF45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E29DF3FD-4F86-48C5-A65E-E28501F26FEF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194C3B97-2C6A-45A0-9561-8E3B0363508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CF93847B-B55A-4CC6-919B-6F0BF69D50A5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9" w:fontKey="{C71DDD7C-F54F-49CD-81A9-5273B73457A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B037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22C0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96E91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6DF12E7"/>
    <w:rsid w:val="07687956"/>
    <w:rsid w:val="0B8C6CF8"/>
    <w:rsid w:val="0EEEE2EE"/>
    <w:rsid w:val="10A6671B"/>
    <w:rsid w:val="132C46E9"/>
    <w:rsid w:val="1BB82A97"/>
    <w:rsid w:val="1DAE4148"/>
    <w:rsid w:val="223E59AC"/>
    <w:rsid w:val="260676CE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1404</Words>
  <Characters>1447</Characters>
  <TotalTime>0</TotalTime>
  <ScaleCrop>false</ScaleCrop>
  <LinksUpToDate>false</LinksUpToDate>
  <CharactersWithSpaces>1915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5BAE036E9E2042B3BD287466E77E6DE0_13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