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7092F">
      <w:pPr>
        <w:pStyle w:val="2"/>
        <w:spacing w:line="242" w:lineRule="auto"/>
      </w:pPr>
      <w:bookmarkStart w:id="4" w:name="_GoBack"/>
      <w:bookmarkEnd w:id="4"/>
    </w:p>
    <w:p w14:paraId="0F621B55">
      <w:pPr>
        <w:pStyle w:val="2"/>
        <w:spacing w:line="243" w:lineRule="auto"/>
      </w:pPr>
    </w:p>
    <w:p w14:paraId="31024B3C">
      <w:pPr>
        <w:pStyle w:val="2"/>
        <w:spacing w:line="243" w:lineRule="auto"/>
      </w:pPr>
    </w:p>
    <w:p w14:paraId="1F69C419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44EE64B">
      <w:pPr>
        <w:spacing w:before="150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执行复议申请书</w:t>
      </w:r>
    </w:p>
    <w:p w14:paraId="54C773B5"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（当事人、利害关系人、案外人申请复议用）</w:t>
      </w:r>
    </w:p>
    <w:p w14:paraId="6AE31EAD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7C0A57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5E61F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E4827A2">
            <w:pPr>
              <w:pStyle w:val="8"/>
              <w:spacing w:before="50" w:line="235" w:lineRule="auto"/>
              <w:ind w:left="84" w:right="38" w:firstLine="431"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当事人、利害关系人对不予受理或者驳回申请裁定不服</w:t>
            </w:r>
            <w:r>
              <w:rPr>
                <w:color w:val="231F20"/>
                <w:spacing w:val="2"/>
              </w:rPr>
              <w:t>的，可以自裁定送达之日起十日内向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上一级人民法院申请复议。为了方便您提出执行复议申请，保护您的合法权利，请您如实填写本表。</w:t>
            </w:r>
          </w:p>
          <w:p w14:paraId="2BCD1385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申请执行复议时需向人民法院提交以下材料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354A6EE1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本表所涉内容系针对申请执行复议专用，有些内容可能与您的具体申请无关，您认为与申请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41170B69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814A6EC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9A72536">
            <w:pPr>
              <w:pStyle w:val="8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 w14:paraId="51CEEB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86F54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BB29B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C3BC4ED">
            <w:pPr>
              <w:spacing w:line="271" w:lineRule="auto"/>
              <w:rPr>
                <w:rFonts w:ascii="Arial"/>
                <w:sz w:val="21"/>
              </w:rPr>
            </w:pPr>
          </w:p>
          <w:p w14:paraId="5482D13B">
            <w:pPr>
              <w:spacing w:line="271" w:lineRule="auto"/>
              <w:rPr>
                <w:rFonts w:ascii="Arial"/>
                <w:sz w:val="21"/>
              </w:rPr>
            </w:pPr>
          </w:p>
          <w:p w14:paraId="6493B697">
            <w:pPr>
              <w:spacing w:line="271" w:lineRule="auto"/>
              <w:rPr>
                <w:rFonts w:ascii="Arial"/>
                <w:sz w:val="21"/>
              </w:rPr>
            </w:pPr>
          </w:p>
          <w:p w14:paraId="57633FDE">
            <w:pPr>
              <w:spacing w:line="272" w:lineRule="auto"/>
              <w:rPr>
                <w:rFonts w:ascii="Arial"/>
                <w:sz w:val="21"/>
              </w:rPr>
            </w:pPr>
          </w:p>
          <w:p w14:paraId="32AE4DEA">
            <w:pPr>
              <w:spacing w:line="272" w:lineRule="auto"/>
              <w:rPr>
                <w:rFonts w:ascii="Arial"/>
                <w:sz w:val="21"/>
              </w:rPr>
            </w:pPr>
          </w:p>
          <w:p w14:paraId="2CC986C7">
            <w:pPr>
              <w:pStyle w:val="8"/>
              <w:spacing w:before="79" w:line="262" w:lineRule="auto"/>
              <w:ind w:left="651" w:right="656" w:firstLine="18"/>
            </w:pPr>
            <w:r>
              <w:rPr>
                <w:color w:val="231F20"/>
                <w:spacing w:val="-2"/>
              </w:rPr>
              <w:t>复议申请人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85CD7AC">
            <w:pPr>
              <w:pStyle w:val="8"/>
              <w:spacing w:before="93" w:line="173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利害关系人</w:t>
            </w:r>
            <w:r>
              <w:rPr>
                <w:color w:val="231F20"/>
                <w:spacing w:val="-2"/>
              </w:rPr>
              <w:t>□    案外人□</w:t>
            </w:r>
          </w:p>
          <w:p w14:paraId="6BAEF687">
            <w:pPr>
              <w:pStyle w:val="8"/>
              <w:spacing w:before="47" w:line="240" w:lineRule="auto"/>
              <w:ind w:left="86" w:right="4877" w:firstLine="6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0BF6B21">
            <w:pPr>
              <w:pStyle w:val="8"/>
              <w:spacing w:before="6" w:line="240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1FF314C4">
            <w:pPr>
              <w:pStyle w:val="8"/>
              <w:spacing w:before="40" w:line="240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1963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       </w:t>
            </w:r>
            <w:r>
              <w:rPr>
                <w:color w:val="231F20"/>
                <w:spacing w:val="-6"/>
              </w:rPr>
              <w:t>民</w:t>
            </w:r>
            <w:r>
              <w:rPr>
                <w:color w:val="231F20"/>
                <w:spacing w:val="-7"/>
              </w:rPr>
              <w:t>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1CF705DB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             职务：    </w:t>
            </w:r>
            <w:r>
              <w:rPr>
                <w:color w:val="231F20"/>
                <w:spacing w:val="-2"/>
              </w:rPr>
              <w:t xml:space="preserve">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 w14:paraId="68431C1F">
            <w:pPr>
              <w:pStyle w:val="8"/>
              <w:spacing w:before="41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×××× 镇</w:t>
            </w:r>
          </w:p>
          <w:p w14:paraId="5B14404C">
            <w:pPr>
              <w:pStyle w:val="8"/>
              <w:spacing w:before="45" w:line="257" w:lineRule="auto"/>
              <w:ind w:left="83" w:right="3197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DB2C22A">
            <w:pPr>
              <w:pStyle w:val="8"/>
              <w:spacing w:before="7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F84A4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5C4A095">
            <w:pPr>
              <w:spacing w:line="284" w:lineRule="auto"/>
              <w:rPr>
                <w:rFonts w:ascii="Arial"/>
                <w:sz w:val="21"/>
              </w:rPr>
            </w:pPr>
          </w:p>
          <w:p w14:paraId="7C665B65">
            <w:pPr>
              <w:spacing w:line="284" w:lineRule="auto"/>
              <w:rPr>
                <w:rFonts w:ascii="Arial"/>
                <w:sz w:val="21"/>
              </w:rPr>
            </w:pPr>
          </w:p>
          <w:p w14:paraId="4BCFC98F">
            <w:pPr>
              <w:spacing w:line="284" w:lineRule="auto"/>
              <w:rPr>
                <w:rFonts w:ascii="Arial"/>
                <w:sz w:val="21"/>
              </w:rPr>
            </w:pPr>
          </w:p>
          <w:p w14:paraId="05111F56">
            <w:pPr>
              <w:pStyle w:val="8"/>
              <w:spacing w:before="78" w:line="210" w:lineRule="auto"/>
              <w:ind w:left="669"/>
            </w:pPr>
            <w:r>
              <w:rPr>
                <w:color w:val="231F20"/>
                <w:spacing w:val="-2"/>
              </w:rPr>
              <w:t>复议申请人</w:t>
            </w:r>
          </w:p>
          <w:p w14:paraId="1E4EC8E4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BE17AC1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7FA04F2A">
            <w:pPr>
              <w:pStyle w:val="8"/>
              <w:spacing w:before="66" w:line="259" w:lineRule="auto"/>
              <w:ind w:left="86" w:right="4562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007AEBDB">
            <w:pPr>
              <w:pStyle w:val="8"/>
              <w:spacing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62AE9EF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职务：              联系电话：</w:t>
            </w:r>
          </w:p>
          <w:p w14:paraId="6FB8A3CA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3E156B76">
      <w:pPr>
        <w:pStyle w:val="2"/>
      </w:pPr>
    </w:p>
    <w:p w14:paraId="288A454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77045D3">
      <w:pPr>
        <w:spacing w:before="41"/>
      </w:pPr>
    </w:p>
    <w:p w14:paraId="77A4164D">
      <w:pPr>
        <w:spacing w:before="41"/>
      </w:pPr>
    </w:p>
    <w:p w14:paraId="46F09A2B">
      <w:pPr>
        <w:spacing w:before="41"/>
      </w:pPr>
    </w:p>
    <w:p w14:paraId="225D7FB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6D5215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1317114">
            <w:pPr>
              <w:spacing w:line="340" w:lineRule="auto"/>
              <w:rPr>
                <w:rFonts w:ascii="Arial"/>
                <w:sz w:val="21"/>
              </w:rPr>
            </w:pPr>
          </w:p>
          <w:p w14:paraId="481BF981">
            <w:pPr>
              <w:spacing w:line="341" w:lineRule="auto"/>
              <w:rPr>
                <w:rFonts w:ascii="Arial"/>
                <w:sz w:val="21"/>
              </w:rPr>
            </w:pPr>
          </w:p>
          <w:p w14:paraId="4798829E">
            <w:pPr>
              <w:pStyle w:val="8"/>
              <w:spacing w:before="79" w:line="210" w:lineRule="auto"/>
              <w:ind w:left="669"/>
            </w:pPr>
            <w:r>
              <w:rPr>
                <w:color w:val="231F20"/>
                <w:spacing w:val="-2"/>
              </w:rPr>
              <w:t>复议申请人</w:t>
            </w:r>
          </w:p>
          <w:p w14:paraId="2D518472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1FDE7A1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4D24779B">
            <w:pPr>
              <w:pStyle w:val="8"/>
              <w:spacing w:before="64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00A369AE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1FFF74C">
            <w:pPr>
              <w:pStyle w:val="8"/>
              <w:spacing w:before="66" w:line="238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85DA7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35A5D22">
            <w:pPr>
              <w:spacing w:line="283" w:lineRule="auto"/>
              <w:rPr>
                <w:rFonts w:ascii="Arial"/>
                <w:sz w:val="21"/>
              </w:rPr>
            </w:pPr>
          </w:p>
          <w:p w14:paraId="2DDC6F60">
            <w:pPr>
              <w:spacing w:line="283" w:lineRule="auto"/>
              <w:rPr>
                <w:rFonts w:ascii="Arial"/>
                <w:sz w:val="21"/>
              </w:rPr>
            </w:pPr>
          </w:p>
          <w:p w14:paraId="52BB92AF">
            <w:pPr>
              <w:spacing w:line="284" w:lineRule="auto"/>
              <w:rPr>
                <w:rFonts w:ascii="Arial"/>
                <w:sz w:val="21"/>
              </w:rPr>
            </w:pPr>
          </w:p>
          <w:p w14:paraId="365B85B6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E1B1FBE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4C10E80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491157B7">
            <w:pPr>
              <w:pStyle w:val="8"/>
              <w:spacing w:before="62" w:line="222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59BFF3FE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DE5AA07">
            <w:pPr>
              <w:pStyle w:val="8"/>
              <w:spacing w:before="52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71ED0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B2D7360">
            <w:pPr>
              <w:spacing w:line="271" w:lineRule="auto"/>
              <w:rPr>
                <w:rFonts w:ascii="Arial"/>
                <w:sz w:val="21"/>
              </w:rPr>
            </w:pPr>
          </w:p>
          <w:p w14:paraId="2E20FE92">
            <w:pPr>
              <w:spacing w:line="271" w:lineRule="auto"/>
              <w:rPr>
                <w:rFonts w:ascii="Arial"/>
                <w:sz w:val="21"/>
              </w:rPr>
            </w:pPr>
          </w:p>
          <w:p w14:paraId="3F6D7656">
            <w:pPr>
              <w:spacing w:line="271" w:lineRule="auto"/>
              <w:rPr>
                <w:rFonts w:ascii="Arial"/>
                <w:sz w:val="21"/>
              </w:rPr>
            </w:pPr>
          </w:p>
          <w:p w14:paraId="47C8573C">
            <w:pPr>
              <w:spacing w:line="272" w:lineRule="auto"/>
              <w:rPr>
                <w:rFonts w:ascii="Arial"/>
                <w:sz w:val="21"/>
              </w:rPr>
            </w:pPr>
          </w:p>
          <w:p w14:paraId="04B7C86E">
            <w:pPr>
              <w:spacing w:line="272" w:lineRule="auto"/>
              <w:rPr>
                <w:rFonts w:ascii="Arial"/>
                <w:sz w:val="21"/>
              </w:rPr>
            </w:pPr>
          </w:p>
          <w:p w14:paraId="24255422">
            <w:pPr>
              <w:pStyle w:val="8"/>
              <w:spacing w:before="79" w:line="262" w:lineRule="auto"/>
              <w:ind w:left="651" w:right="656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989A489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65F27FA6">
            <w:pPr>
              <w:pStyle w:val="8"/>
              <w:spacing w:before="65" w:line="261" w:lineRule="auto"/>
              <w:ind w:left="86" w:right="4826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44157EA1">
            <w:pPr>
              <w:pStyle w:val="8"/>
              <w:spacing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7B611394">
            <w:pPr>
              <w:pStyle w:val="8"/>
              <w:spacing w:before="62"/>
              <w:ind w:left="100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6D3C1D0F">
            <w:pPr>
              <w:pStyle w:val="8"/>
              <w:spacing w:before="31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50BF39F">
            <w:pPr>
              <w:pStyle w:val="8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9D62B58">
            <w:pPr>
              <w:pStyle w:val="8"/>
              <w:spacing w:before="42" w:line="237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150CB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37A7BAC">
            <w:pPr>
              <w:spacing w:line="254" w:lineRule="auto"/>
              <w:rPr>
                <w:rFonts w:ascii="Arial"/>
                <w:sz w:val="21"/>
              </w:rPr>
            </w:pPr>
          </w:p>
          <w:p w14:paraId="3656FFA9">
            <w:pPr>
              <w:spacing w:line="254" w:lineRule="auto"/>
              <w:rPr>
                <w:rFonts w:ascii="Arial"/>
                <w:sz w:val="21"/>
              </w:rPr>
            </w:pPr>
          </w:p>
          <w:p w14:paraId="4D72A828">
            <w:pPr>
              <w:spacing w:line="254" w:lineRule="auto"/>
              <w:rPr>
                <w:rFonts w:ascii="Arial"/>
                <w:sz w:val="21"/>
              </w:rPr>
            </w:pPr>
          </w:p>
          <w:p w14:paraId="2D182EE3">
            <w:pPr>
              <w:spacing w:line="254" w:lineRule="auto"/>
              <w:rPr>
                <w:rFonts w:ascii="Arial"/>
                <w:sz w:val="21"/>
              </w:rPr>
            </w:pPr>
          </w:p>
          <w:p w14:paraId="561665E3">
            <w:pPr>
              <w:spacing w:line="254" w:lineRule="auto"/>
              <w:rPr>
                <w:rFonts w:ascii="Arial"/>
                <w:sz w:val="21"/>
              </w:rPr>
            </w:pPr>
          </w:p>
          <w:p w14:paraId="17DE85A0">
            <w:pPr>
              <w:spacing w:line="255" w:lineRule="auto"/>
              <w:rPr>
                <w:rFonts w:ascii="Arial"/>
                <w:sz w:val="21"/>
              </w:rPr>
            </w:pPr>
          </w:p>
          <w:p w14:paraId="4D43899E">
            <w:pPr>
              <w:spacing w:line="255" w:lineRule="auto"/>
              <w:rPr>
                <w:rFonts w:ascii="Arial"/>
                <w:sz w:val="21"/>
              </w:rPr>
            </w:pPr>
          </w:p>
          <w:p w14:paraId="69927B67">
            <w:pPr>
              <w:spacing w:line="255" w:lineRule="auto"/>
              <w:rPr>
                <w:rFonts w:ascii="Arial"/>
                <w:sz w:val="21"/>
              </w:rPr>
            </w:pPr>
          </w:p>
          <w:p w14:paraId="1D90808F">
            <w:pPr>
              <w:pStyle w:val="8"/>
              <w:spacing w:before="78" w:line="209" w:lineRule="auto"/>
              <w:ind w:left="663"/>
            </w:pPr>
            <w:r>
              <w:rPr>
                <w:color w:val="231F20"/>
                <w:spacing w:val="-1"/>
              </w:rPr>
              <w:t>其他当事人</w:t>
            </w:r>
          </w:p>
          <w:p w14:paraId="4D34252C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6AAC424">
            <w:pPr>
              <w:pStyle w:val="8"/>
              <w:spacing w:before="95" w:line="175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利害关系人□    </w:t>
            </w:r>
            <w:r>
              <w:rPr>
                <w:color w:val="231F20"/>
                <w:spacing w:val="-2"/>
              </w:rPr>
              <w:t>案外人□</w:t>
            </w:r>
          </w:p>
          <w:p w14:paraId="1AEA57F8">
            <w:pPr>
              <w:pStyle w:val="8"/>
              <w:spacing w:before="42" w:line="209" w:lineRule="auto"/>
              <w:ind w:left="714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  <w:p w14:paraId="262D8F00">
            <w:pPr>
              <w:pStyle w:val="8"/>
              <w:spacing w:before="6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 w14:paraId="360EAA28">
            <w:pPr>
              <w:pStyle w:val="8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 w14:paraId="0EAB7A8F">
            <w:pPr>
              <w:pStyle w:val="8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经理</w:t>
            </w:r>
          </w:p>
          <w:p w14:paraId="5891A853">
            <w:pPr>
              <w:pStyle w:val="8"/>
              <w:spacing w:before="49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1B69BAA4">
            <w:pPr>
              <w:pStyle w:val="8"/>
              <w:spacing w:before="66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 w14:paraId="7B16D01D">
            <w:pPr>
              <w:pStyle w:val="8"/>
              <w:spacing w:before="78" w:line="236" w:lineRule="auto"/>
              <w:ind w:left="715" w:right="1202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1ADB2348">
            <w:pPr>
              <w:pStyle w:val="8"/>
              <w:spacing w:before="5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8BB20D6">
            <w:pPr>
              <w:pStyle w:val="8"/>
              <w:spacing w:before="67" w:line="236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D0D94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E435FD3">
            <w:pPr>
              <w:pStyle w:val="8"/>
              <w:spacing w:before="90" w:line="207" w:lineRule="auto"/>
              <w:ind w:left="770"/>
            </w:pPr>
            <w:r>
              <w:rPr>
                <w:color w:val="231F20"/>
                <w:spacing w:val="-1"/>
              </w:rPr>
              <w:t>原文书号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5DFC21C">
            <w:pPr>
              <w:spacing w:before="8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（2024）黔 01 执异  ×× 号</w:t>
            </w:r>
          </w:p>
        </w:tc>
      </w:tr>
      <w:tr w14:paraId="23FC8F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FC195A4">
            <w:pPr>
              <w:pStyle w:val="8"/>
              <w:spacing w:before="89" w:line="208" w:lineRule="auto"/>
              <w:ind w:left="768"/>
            </w:pPr>
            <w:r>
              <w:rPr>
                <w:color w:val="231F20"/>
                <w:spacing w:val="-1"/>
              </w:rPr>
              <w:t>送达日期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F3C0B00">
            <w:pPr>
              <w:pStyle w:val="8"/>
              <w:spacing w:before="89" w:line="208" w:lineRule="auto"/>
              <w:ind w:left="87"/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2024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12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5"/>
              </w:rPr>
              <w:t>日</w:t>
            </w:r>
          </w:p>
        </w:tc>
      </w:tr>
    </w:tbl>
    <w:p w14:paraId="69685EF3">
      <w:pPr>
        <w:pStyle w:val="2"/>
      </w:pPr>
    </w:p>
    <w:p w14:paraId="3B15026A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21B97EB">
      <w:pPr>
        <w:spacing w:before="41"/>
      </w:pPr>
    </w:p>
    <w:p w14:paraId="1ED669E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03E288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D6BA8A">
            <w:pPr>
              <w:spacing w:before="81" w:line="194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复议事项</w:t>
            </w:r>
          </w:p>
        </w:tc>
      </w:tr>
      <w:tr w14:paraId="3687DE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8F56BF6">
            <w:pPr>
              <w:pStyle w:val="8"/>
              <w:spacing w:before="85" w:line="208" w:lineRule="auto"/>
              <w:ind w:left="665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9BB6454">
            <w:pPr>
              <w:pStyle w:val="8"/>
              <w:spacing w:before="82" w:line="210" w:lineRule="auto"/>
              <w:ind w:left="93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3FD32A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F0B149B">
            <w:pPr>
              <w:pStyle w:val="8"/>
              <w:spacing w:before="95" w:line="208" w:lineRule="auto"/>
              <w:ind w:left="665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32DF72E">
            <w:pPr>
              <w:pStyle w:val="8"/>
              <w:spacing w:before="92" w:line="173" w:lineRule="auto"/>
              <w:ind w:left="84"/>
            </w:pPr>
            <w:r>
              <w:rPr>
                <w:color w:val="231F20"/>
                <w:spacing w:val="-1"/>
              </w:rPr>
              <w:t>超过法定期限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不符合立案条件□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</w:p>
        </w:tc>
      </w:tr>
      <w:tr w14:paraId="28CEC1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52033AE">
            <w:pPr>
              <w:spacing w:line="344" w:lineRule="auto"/>
              <w:rPr>
                <w:rFonts w:ascii="Arial"/>
                <w:sz w:val="21"/>
              </w:rPr>
            </w:pPr>
          </w:p>
          <w:p w14:paraId="7081CC50">
            <w:pPr>
              <w:pStyle w:val="8"/>
              <w:spacing w:before="79" w:line="208" w:lineRule="auto"/>
              <w:ind w:left="560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552DACB">
            <w:pPr>
              <w:pStyle w:val="8"/>
              <w:spacing w:before="95" w:line="171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债务已部分或全部履行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7049961D">
            <w:pPr>
              <w:pStyle w:val="8"/>
              <w:spacing w:before="48" w:line="237" w:lineRule="auto"/>
              <w:ind w:left="85" w:right="257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59F51A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B6CEE9D">
            <w:pPr>
              <w:spacing w:line="355" w:lineRule="auto"/>
              <w:rPr>
                <w:rFonts w:ascii="Arial"/>
                <w:sz w:val="21"/>
              </w:rPr>
            </w:pPr>
          </w:p>
          <w:p w14:paraId="65B51B15">
            <w:pPr>
              <w:pStyle w:val="8"/>
              <w:spacing w:before="79" w:line="208" w:lineRule="auto"/>
              <w:ind w:left="348"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327A14E">
            <w:pPr>
              <w:pStyle w:val="8"/>
              <w:spacing w:before="95" w:line="172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冻结监管账户（专用账户）□    超标的查、扣、冻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259F55BC">
            <w:pPr>
              <w:pStyle w:val="8"/>
              <w:spacing w:before="47" w:line="209" w:lineRule="auto"/>
              <w:ind w:left="83"/>
            </w:pPr>
            <w:r>
              <w:rPr>
                <w:color w:val="231F20"/>
              </w:rPr>
              <w:t>查、扣、冻案外人财产□    不存在到期债权或数额错误□</w:t>
            </w:r>
          </w:p>
          <w:p w14:paraId="5701E5C0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已履行完毕，不应再对异议人采取执行措施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u w:val="single" w:color="auto"/>
              </w:rPr>
              <w:t xml:space="preserve">  </w:t>
            </w:r>
          </w:p>
        </w:tc>
      </w:tr>
      <w:tr w14:paraId="4FC3A2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E20A07A">
            <w:pPr>
              <w:pStyle w:val="8"/>
              <w:spacing w:before="256" w:line="262" w:lineRule="auto"/>
              <w:ind w:left="871" w:right="213" w:hanging="576"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951ACB6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190CAF1A">
            <w:pPr>
              <w:pStyle w:val="8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 w14:paraId="4F038D5C">
            <w:pPr>
              <w:pStyle w:val="8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</w:p>
        </w:tc>
      </w:tr>
      <w:tr w14:paraId="5C3A68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7FB1BF5">
            <w:pPr>
              <w:pStyle w:val="8"/>
              <w:spacing w:before="258" w:line="208" w:lineRule="auto"/>
              <w:ind w:left="666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AD141D7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处置程序违法□    低价变卖□    以物抵债错误□</w:t>
            </w:r>
          </w:p>
          <w:p w14:paraId="02090570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1"/>
              </w:rPr>
              <w:t>税费承担分配错误□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31F364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E14252D">
            <w:pPr>
              <w:pStyle w:val="8"/>
              <w:spacing w:before="89" w:line="208" w:lineRule="auto"/>
              <w:ind w:left="351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B1F83B0">
            <w:pPr>
              <w:pStyle w:val="8"/>
              <w:spacing w:before="87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EDADF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27433EF">
            <w:pPr>
              <w:pStyle w:val="8"/>
              <w:spacing w:before="261" w:line="207" w:lineRule="auto"/>
              <w:ind w:left="662"/>
            </w:pPr>
            <w:r>
              <w:rPr>
                <w:color w:val="231F20"/>
                <w:spacing w:val="-1"/>
              </w:rPr>
              <w:t>惩戒措施□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B4EDCAF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1"/>
              </w:rPr>
              <w:t>限制高消费□    限制出入境□    列入失信名单</w:t>
            </w:r>
            <w:r>
              <w:rPr>
                <w:color w:val="231F20"/>
                <w:spacing w:val="-2"/>
              </w:rPr>
              <w:t>□    罚款□     拘留□</w:t>
            </w:r>
          </w:p>
          <w:p w14:paraId="7997721E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37BA2A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4D61318">
            <w:pPr>
              <w:pStyle w:val="8"/>
              <w:spacing w:before="260" w:line="208" w:lineRule="auto"/>
              <w:ind w:left="665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6D65A3C">
            <w:pPr>
              <w:pStyle w:val="8"/>
              <w:spacing w:before="89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575788A0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1FE477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214D3E9">
            <w:pPr>
              <w:pStyle w:val="8"/>
              <w:spacing w:before="89" w:line="209" w:lineRule="auto"/>
              <w:ind w:left="873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F4D7957">
            <w:pPr>
              <w:rPr>
                <w:rFonts w:ascii="Arial"/>
                <w:sz w:val="21"/>
              </w:rPr>
            </w:pPr>
          </w:p>
        </w:tc>
      </w:tr>
      <w:tr w14:paraId="1026C7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165E15"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复议请求</w:t>
            </w:r>
          </w:p>
        </w:tc>
      </w:tr>
      <w:tr w14:paraId="679185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AFA7EC">
            <w:pPr>
              <w:spacing w:before="86" w:line="240" w:lineRule="auto"/>
              <w:ind w:left="5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1. 撤销（2024）黔 01 执异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号执行裁定；</w:t>
            </w:r>
          </w:p>
          <w:p w14:paraId="26CD5C2B">
            <w:pPr>
              <w:spacing w:before="61" w:line="240" w:lineRule="auto"/>
              <w:ind w:left="84" w:right="80" w:firstLine="4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 立即中止对复议申请人的错误执行措施，发还贵阳中院于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2023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日错误扣划的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存款 260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万元。</w:t>
            </w:r>
          </w:p>
        </w:tc>
      </w:tr>
      <w:tr w14:paraId="71689F55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508A92E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0B64A2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4C88B5">
            <w:pPr>
              <w:spacing w:before="87" w:line="240" w:lineRule="auto"/>
              <w:ind w:left="89" w:right="7" w:firstLine="4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1. 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集团  ×× 有限公司已经履行完毕《执行和解协议》项下义务，应不再承担责任，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贵阳中院扣划异议人存款于法无据。</w:t>
            </w:r>
          </w:p>
          <w:p w14:paraId="2022B114">
            <w:pPr>
              <w:spacing w:before="22" w:line="240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2.（2015）筑执字第  ××× 号已过 2 年执行时效。</w:t>
            </w:r>
          </w:p>
          <w:p w14:paraId="27BEAA6F">
            <w:pPr>
              <w:spacing w:before="60" w:line="240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贵阳中院违反原生效法律文书确定的履行顺序，直接执行异议人财产损害异议人顺位利益。</w:t>
            </w:r>
          </w:p>
          <w:p w14:paraId="505D9AAF">
            <w:pPr>
              <w:spacing w:before="64" w:line="240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4.（2024）黔 01 执异  ×× 号执行裁定遗漏申请人的异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议理由。</w:t>
            </w:r>
          </w:p>
        </w:tc>
      </w:tr>
      <w:tr w14:paraId="331C33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0C1930">
            <w:pPr>
              <w:spacing w:before="94" w:line="190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74E312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E6395E">
            <w:pPr>
              <w:spacing w:line="352" w:lineRule="auto"/>
              <w:rPr>
                <w:rFonts w:ascii="Arial"/>
                <w:sz w:val="21"/>
              </w:rPr>
            </w:pPr>
          </w:p>
          <w:p w14:paraId="29C5A36F">
            <w:pPr>
              <w:spacing w:before="7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《执行和解协议》</w:t>
            </w:r>
          </w:p>
        </w:tc>
      </w:tr>
    </w:tbl>
    <w:p w14:paraId="4361A362">
      <w:pPr>
        <w:spacing w:before="174" w:line="223" w:lineRule="auto"/>
        <w:ind w:left="5378" w:right="20" w:hanging="1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F0F7FCD-8036-479E-806F-41378EE61E66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D525B447-737D-4A7A-B584-DEE16D5DF3B0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0185A7E4-9EBD-434A-B5B0-A0EA7191AA65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90CB29F9-A5CF-4603-9001-BE3C538CB465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5AE2AC5F-43E7-464B-BC50-B6303110986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2F538E1F-DD36-4534-8D1B-ACD6A041C5D1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E6C3A184-8A99-4496-8250-5E63ECF8160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5FE7DDE2-E117-47B3-A39C-C3A40FDF066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9" w:fontKey="{8FF606CA-2CD6-48A1-B984-C245AB60FCE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DCDD7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366C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C4DB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1FB5E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5B5A3E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3121185"/>
    <w:rsid w:val="576F55A7"/>
    <w:rsid w:val="59BDB788"/>
    <w:rsid w:val="5BEF04A4"/>
    <w:rsid w:val="5F3E0651"/>
    <w:rsid w:val="5F4F5ADA"/>
    <w:rsid w:val="5FBFE48F"/>
    <w:rsid w:val="61E676B7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7D4F0D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2073</Words>
  <Characters>2114</Characters>
  <TotalTime>58</TotalTime>
  <ScaleCrop>false</ScaleCrop>
  <LinksUpToDate>false</LinksUpToDate>
  <CharactersWithSpaces>3054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FC5DB74E0E574A079396B74A08ADDCCB_13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