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中华人民共和国增值税法实施条例</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根据《中华人民共和国增值税法》（以下简称增值税法），制定本条例。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增值税法第三条所称货物，包括有形动产、电力、热力、气体等。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增值税法第三条所称服务，包括交通运输服务、邮政服务、电信服务、建筑服务、金融服务，以及信息技术服务、文化体育服务、鉴证咨询服务等生产生活服务。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增值税法第三条所称无形资产，是指不具实物形态，但能带来经济利益的资产，包括技术、商标、著作权、商誉、自然资源使用权和其他无形资产。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增值税法第三条所称不动产，是指不能移动或者移动后会引起性质、形状改变的资产，包括建筑物、构筑物等。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国务院财政、税务主管部门提出货物、服务、无形资产、不动产的具体范围，报国务院批准后公布施行。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增值税法第三条所称单位，包括企业、行政机关、事业单位、军事单位、社会组织及其他单位。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增值税法第三条所称个人，包括个体工商户和自然人。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增值税法第四条第四项所称服务、无形资产在境内消费，是指下列情形：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（一）境外单位或者个人向境内单位或者个人销售服务、无形资产，在境外现场消费的服务除外；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（二）境外单位或者个人销售的服务、无形资产与境内的货物、不动产、自然资源直接相关；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（三）国务院财政、税务主管部门规定的其他情形。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纳税人开具增值税专用发票，应当分别列明销售额和增值税税额。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适用一般计税方法的纳税人为一般纳税人。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一般纳税人实行登记制度，具体登记办法由国务院税务主管部门制定。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自然人属于小规模纳税人。不经常发生应税交易且主要业务不属于应税交易范围的非企业单位，可以选择按照小规模纳税人纳税。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税　　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增值税法第十条第四项所称出口货物，是指向海关报关实际离境并销售给境外单位或者个人的货物，以及国务院规定的视同出口的货物。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境内单位或者个人跨境销售下列服务、无形资产，税率为零：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（一）向境外单位销售的完全在境外消费的研发服务、合同能源管理服务、设计服务、广播影视制作和发行服务、软件服务、电路设计和测试服务、信息系统服务、业务流程管理服务、离岸服务外包业务；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（二）向境外单位转让的完全在境外使用的技术；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（三）国际运输服务、航天运输服务、对外修理修配服务。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增值税法第十三条所称应税交易，应当同时符合下列条件：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（一）包含两个以上涉及不同税率、征收率的业务；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（二）业务之间具有明显的主附关系。主要业务居于主体地位，体现交易的实质和目的；附属业务是主要业务的必要补充，并以主要业务的发生为前提。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应纳税额</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增值税法第十六条所称增值税扣税凭证，应当符合国务院税务主管部门的有关规定，具体包括增值税专用发票、海关进口增值税专用缴款书、完税凭证、农产品收购发票、农产品销售发票以及其他具有进项税额抵扣功能的扣税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纳税人凭增值税扣税凭证从销项税额中抵扣的进项税额，包括：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（一）从销售方取得的增值税专用发票上列明的增值税税额；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（二）从海关取得的海关进口增值税专用缴款书上列明的增值税税额；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（三）自境外单位或者个人购进服务、无形资产或者境内不动产取得的完税凭证上列明的增值税税额；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（四）购进农产品时，除取得增值税专用发票或者海关进口增值税专用缴款书外，按照农产品收购发票或者农产品销售发票计算的进项税额，国务院另有规定的除外；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（五）从销售方取得的其他增值税扣税凭证上列明或者包含的增值税税额。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纳税人按照一般计税方法计算缴纳增值税的，因销售折让、中止或者退回而退还给购买方的增值税税额，应当从当期的销项税额中扣减；因销售折让、中止或者退回而收回的增值税税额，应当从当期的进项税额中扣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纳税人按照简易计税方法计算缴纳增值税的，因销售折让、中止或者退回而退还给购买方的销售额，应当从当期销售额中扣减。扣减当期销售额后仍有多缴税款的，可以从以后的应纳税额中扣减或者按规定申请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增值税法第十七条所称全部价款，不包括纳税人代为收取的下列税费或者款项：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（一）政府性基金或者行政事业性收费；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（二）受托加工应征消费税的消费品所产生的消费税；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（三）车辆购置税、车船税；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（四）以委托方名义开具发票代委托方收取的款项。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纳税人采用销售额和增值税税额合并定价方法的，按照下列公式计算销售额：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一般计税方法的销售额＝含税销售额÷（1+税率）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简易计税方法的销售额＝含税销售额÷（1＋征收率）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纳税人以人民币以外的货币结算销售额的，在折合成人民币计算时，折合率可以选择销售额发生的当日或者当月1日有效的人民币汇率中间价。纳税人确定折合率后，12个月内不得变更。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纳税人发生增值税法第二十条规定情形的，税务机关可以按顺序依照下列方法核定销售额：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（一）按照纳税人最近时期销售同类货物、服务、无形资产或者不动产的平均价格确定；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（二）按照其他纳税人最近时期销售同类货物、服务、无形资产或者不动产的平均价格确定；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（三）按照组成计税价格确定。组成计税价格的公式为：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组成计税价格=成本×（1+成本利润率）+消费税税额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公式中成本利润率为10%，国务院税务主管部门可以根据行业成本利润实际情况调整成本利润率。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增值税法第二十二条第三项所称非正常损失，是指因管理不善造成货物被盗、丢失、霉烂变质，以及因违反法律法规造成货物或者不动产被依法没收、销毁、拆除等情形。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增值税法第二十二条第三项所称非正常损失项目，包括：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（一）非正常损失的购进货物，以及与之相关的加工修理修配服务和交通运输服务；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（二）非正常损失的在产品、产成品所耗用的购进货物（不包括固定资产）、加工修理修配服务和交通运输服务；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（三）非正常损失的不动产，以及该不动产所耗用的购进货物和建筑服务；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（四）非正常损失的不动产在建工程所耗用的购进货物和建筑服务。不动产在建工程包括纳税人新建、改建、扩建、修缮、装饰不动产。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二款第三项、第四项所称货物，是指构成不动产实体的材料和设备，包括建筑装饰材料和给排水、采暖、卫生、通风、照明、通讯、燃气、消防、中央空调、电梯、电气、光伏发电、智能化楼宇设备及配套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本条例所称固定资产，是指使用期限超过12个月的机器、机械、运输工具以及其他与生产经营相关的设备、工具、器具等。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纳税人的交际应酬消费属于增值税法所称个人消费。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纳税人购进贷款服务的利息支出，及其向贷款方支付的与该贷款服务直接相关的投融资顾问费、手续费、咨询费等费用支出，对应的进项税额暂不得从销项税额中抵扣。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国务院财政、税务主管部门应当适时研究和评估购进贷款服务利息及相关费用支出对应的进项税额不得从销项税额中抵扣政策执行效果。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纳税人购进货物、服务、无形资产、不动产，用于同时符合下列情形的非应税交易（以下统称不得抵扣非应税交易），对应的进项税额不得从销项税额中抵扣：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（一）发生增值税法第三条至第五条以外的经营活动，并取得与之相关的货币或者非货币形式的经济利益；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（二）不属于增值税法第六条规定的情形。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一般纳税人购进货物（不含固定资产）、服务，用于简易计税方法计税项目、免征增值税项目和不得抵扣非应税交易而无法划分不得抵扣的进项税额的，应当按照销售额或者收入占比逐期计算当期不得抵扣的进项税额，并于次年1月的纳税申报期内进行全年汇总清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已抵扣进项税额的购进货物（不含固定资产）、服务，发生增值税法第二十二条第三项至第五项规定情形的，应当将对应的进项税额从当期进项税额中扣减；无法确定对应的进项税额的，按照当期实际成本计算应扣减的进项税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一般纳税人取得的固定资产、无形资产或者不动产（以下统称长期资产），既用于一般计税方法计税项目，又用于简易计税方法计税项目、免征增值税项目、不得抵扣非应税交易、集体福利或者个人消费（以下统称五类不允许抵扣项目）的，属于用作混合用途的长期资产，对应的进项税额依照增值税法和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（一）原值不超过500万元的单项长期资产，对应的进项税额可以全额从销项税额中抵扣；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（二）原值超过500万元的单项长期资产，购进时先全额抵扣进项税额，此后在用于混合用途期间，根据调整年限计算五类不允许抵扣项目对应的不得从销项税额中抵扣的进项税额，逐年调整。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长期资产进项税额抵扣的具体操作办法，由国务院财政、税务主管部门制定。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税收优惠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增值税法第二十四条第一款第一项所称农业生产者，是指从事农业生产的单位和个人；农产品，是指初级农产品。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增值税法第二十四条第一款第二项所称医疗机构，是指依据有关规定设立的具有医疗机构执业资格的机构，包括军队、武警部队各级各类医疗机构，不包括营利性美容医疗机构。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增值税法第二十四条第一款第三项所称古旧图书，是指向社会收购的古书和旧书。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七项所称托儿所、幼儿园，是指依据有关规定设立的取得托育或者学前教育资格的机构，其免征增值税的收入是指有关收费标准规定以内的保育费、保育教育费；养老机构，是指依据有关规定设立的为老年人提供集中住宿和照料护理服务的各类养老机构；残疾人服务机构，是指依据有关规定设立的专门为残疾人提供相关服务的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增值税法第二十四条第一款第八项所称学校，是指依据有关规定设立的提供学历教育的机构，以及技工学校、高级技工学校、技师学院。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增值税法第二十四条第一款第九项所称门票收入，是指第一道门票收入。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增值税优惠政策的适用范围、标准、条件等应当依法及时向社会公开。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国务院财政、税务主管部门应当适时研究和评估增值税优惠政策执行效果，对不再适应国民经济和社会发展需要的优惠政策，及时报请国务院予以调整完善。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征收管理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单位以承包、承租、挂靠方式经营，承包人、承租人、挂靠人以发包人、出租人、被挂靠人名义对外经营并由发包人、出租人、被挂靠人承担相关法律责任的，发包人、出租人、被挂靠人为纳税人；其他情形下，承包人、承租人、挂靠人为纳税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资管产品运营过程中发生的应税交易，资管产品管理人为纳税人。法律另有规定的，从其规定。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自然人发生符合规定的应税交易，支付价款的境内单位为扣缴义务人。代扣代缴的具体操作办法，由国务院财政、税务主管部门制定。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境外单位或者个人向自然人出租境内不动产，有境内代理人的，由境内代理人申报缴纳税款。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除本条例另有规定外，单位和个体工商户年应征增值税销售额超过小规模纳税人标准的，应当向主管税务机关办理一般纳税人登记，并自超过小规模纳税人标准的当期起按照一般计税方法计算缴纳增值税。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小规模纳税人符合增值税法第九条第二款规定的，可以向主管税务机关办理一般纳税人登记，并自办理登记的当期起按照一般计税方法计算缴纳增值税。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纳税人登记为一般纳税人后，不得转为小规模纳税人。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纳税人发生应税交易，应当向购买方开具发票。有下列情形之一的，不得开具增值税专用发票：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（一）应税交易的购买方为自然人；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（二）应税交易免征增值税；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（三）国务院财政、税务主管部门规定的其他情形。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纳税人发生应税交易，开具增值税专用发票后，发生开票有误或者销售折让、中止、退回等情形的，应当按照国务院税务主管部门的规定进行作废处理或者开具红字增值税专用发票；未按规定进行作废处理或者开具红字增值税专用发票的，不得依照本条例第十三条和第十四条的规定扣减销项税额或者销售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八条第一款第一项所称收讫销售款项，是指纳税人发生应税交易过程中或者完成后收到款项；取得销售款项索取凭据的当日，是指书面合同确定的付款日期，未签订书面合同或者书面合同未确定付款日期的，是指应税交易完成的当日，即货物发出、服务完成、金融商品所有权转移、无形资产转让完成或者不动产转让完成的当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增值税法第二十八条第一款第二项所称完成视同应税交易的当日，是指货物发出、金融商品所有权转移、无形资产转让完成或者不动产转让完成的当日。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纳税人出口货物，报关出口日期早于增值税法第二十八条第一款第一项、第二项规定的纳税义务发生时间的，纳税义务发生时间为货物报关出口的当日。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增值税法第二十九条第一项所称经省级以上财政、税务主管部门批准可以由总机构汇总申报纳税，是指有固定生产经营场所的纳税人，总机构和分支机构不在同一省（自治区、直辖市）内的，经国务院财政、税务主管部门批准，可以由总机构汇总向总机构所在地的主管税务机关申报纳税；总机构和分支机构在同一省（自治区、直辖市）内但不在同一县（市、区、旗）内的，经省（自治区、直辖市）财政、税务主管部门批准，可以由总机构汇总向总机构所在地的主管税务机关申报纳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下列纳税人可以适用增值税法第三十条规定的以一个季度为一个计税期间：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（一）小规模纳税人；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（二）一般纳税人中的银行、财务公司、信托公司、信用社；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（三）国务院税务、财政主管部门确定的其他纳税人。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按次纳税的纳税人，销售额达到起征点的，应当自纳税义务发生之日起至次年6月30日前申报纳税。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下列情形应当按规定预缴税款：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（一）跨地级行政区（直辖市下辖县区）提供建筑服务；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（二）采取预收款方式提供建筑服务；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（三）采取预售方式销售房地产项目；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（四）转让或者出租与纳税人机构所在地不在同一县（市、区、旗）内的不动产；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（五）油气田企业跨省、自治区、直辖市销售与生产原油、天然气相关的服务。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本条第一款规定的预缴税款的具体操作办法，由国务院财政、税务主管部门制定。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经省级以上财政、税务主管部门批准由总机构汇总申报纳税的，批准部门可以规定由分支机构预缴税款。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纳税人出口货物或者跨境销售服务、无形资产（以下统称出口业务），依照增值税法第三十三条的规定申报办理退（免）税的，按照国务院规定的出口退税率，通过免抵退税办法或者免退税办法计算退（免）税额，经税务机关审核通过后，办理退（免）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免抵退税办法，是指出口环节免征增值税，对应的进项税额抵减应纳增值税税额，未抵减完的部分予以退还；免退税办法，是指出口环节免征增值税，对应的进项税额予以退还。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纳税人适用退（免）税、免征增值税的出口业务，应当按照规定期限申报；逾期未申报的，按照视同向境内销售的规定缴纳增值税。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以委托方式出口货物的，应当按照国务院税务主管部门的规定办理委托代理出口手续，由委托方按规定申报办理出口退（免）税、免征增值税或者缴纳增值税；未办理委托代理出口手续的，由出口货物的发货人按规定申报缴纳增值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纳税人适用退（免）税的出口业务，可以放弃退（免）税，选择免征增值税或者缴纳增值税，自放弃退（免）税之日次月起，适用退（免）税的出口业务免征增值税或者按规定缴纳增值税。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纳税人适用免征增值税的出口业务，可以放弃免征增值税，选择缴纳增值税，自放弃免征增值税之日次月起，适用免征增值税的出口业务按规定缴纳增值税。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纳税人放弃退（免）税或者免征增值税的出口业务，在36个月内不得再次适用退（免）税或者免征增值税。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办理退（免）税的出口业务发生销售折让、中止或者退回等情形的，纳税人应当缴回已退（免）税款。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增值税出口退（免）税的具体操作办法，由国务院财政、税务主管部门制定。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税务机关可以依法向有关单位和个人获取与出口税收征收管理相关的物流、报关、货物运输代理、资金结算等信息，有关单位和个人应当予以提供。税务机关及其工作人员应当对相关信息予以保密，不得用于税收征收管理以外的用途。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纳税人实施不具有合理商业目的的安排而减少、免除、推迟缴纳增值税税款，或者提前退税、多退税款的，税务机关可以依照《中华人民共和国税收征收管理法》和有关行政法规的规定予以调整。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