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916BEC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CESI小标宋-GB18030" w:cs="CESI小标宋-GB18030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最高人民法院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  <w:lang w:eastAsia="zh-CN"/>
        </w:rPr>
        <w:t>　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最高人民检察院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关于办理掩饰、隐瞒犯罪所得、犯罪所得收益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刑事案件适用法律若干问题的解释</w:t>
      </w:r>
    </w:p>
    <w:p w14:paraId="36D92F55">
      <w:pPr>
        <w:rPr>
          <w:rFonts w:ascii="Times New Roman" w:hAnsi="Times New Roman" w:eastAsia="宋体" w:cs="宋体"/>
          <w:szCs w:val="32"/>
        </w:rPr>
      </w:pPr>
    </w:p>
    <w:p w14:paraId="39373B1D">
      <w:pPr>
        <w:jc w:val="center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法释〔2025〕13号</w:t>
      </w:r>
    </w:p>
    <w:p w14:paraId="671F37FC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（2023年3月24日最高人民法院审判委员会第1881次会议、2024年3月29日最高人民检察院第十四届检察委员会第二十八次会议通过，自2025年8月26日起施行）</w:t>
      </w:r>
    </w:p>
    <w:p w14:paraId="56286E30">
      <w:pPr>
        <w:rPr>
          <w:rFonts w:ascii="Times New Roman" w:hAnsi="Times New Roman" w:eastAsia="宋体" w:cs="宋体"/>
          <w:szCs w:val="32"/>
        </w:rPr>
      </w:pPr>
    </w:p>
    <w:p w14:paraId="3D792DA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为依法惩治掩饰、隐瞒犯罪所得、犯罪所得收益犯罪活动，根据《中华人民共和国刑法》的规定，现就办理此类刑事案件适用法律的若干问题解释如下：</w:t>
      </w:r>
    </w:p>
    <w:p w14:paraId="29C913A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第一</w:t>
      </w: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条</w:t>
      </w:r>
      <w:r>
        <w:rPr>
          <w:rFonts w:hint="eastAsia" w:ascii="Times New Roman" w:hAnsi="Times New Roman" w:cs="仿宋_GB2312"/>
          <w:sz w:val="32"/>
          <w:szCs w:val="32"/>
        </w:rPr>
        <w:t>　刑法第三百一十二条规定的“犯罪所得”，是指通过犯罪得到的赃款、赃物或其他财产性利益；“犯罪所得收益”，是指通过犯罪所得获取的孳息等财产性利益。</w:t>
      </w:r>
    </w:p>
    <w:p w14:paraId="1D21A90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刑法第三百一十二条规定的“其他方法”，包括任何足以掩饰、隐瞒犯罪所得及其收益的行为手段，如居间介绍买卖，收受，持有，使用，加工，提供资金账户，将财产转换为现金、金融票据、有价证券，通过转账或者其他支付结算方式转移资金，跨境转移资产等。</w:t>
      </w:r>
    </w:p>
    <w:p w14:paraId="595DD9C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第二条</w:t>
      </w:r>
      <w:r>
        <w:rPr>
          <w:rFonts w:hint="eastAsia" w:ascii="Times New Roman" w:hAnsi="Times New Roman" w:cs="仿宋_GB2312"/>
          <w:sz w:val="32"/>
          <w:szCs w:val="32"/>
        </w:rPr>
        <w:t>　刑法第三百一十二条规定的“明知”，包括知道或者应当知道。应当根据行为人所接触、接收的信息，经手他人犯罪所得及其收益的情况，犯罪所得及其收益的种类、数额，犯罪所得及其收益的转移、转换方式，交易行为、资金账户的异常情况，结合行为人的职业经历、与上游犯罪人之间的关系以及其供述和辩解等综合审查判断。</w:t>
      </w:r>
    </w:p>
    <w:p w14:paraId="58F7F0B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第三条</w:t>
      </w:r>
      <w:r>
        <w:rPr>
          <w:rFonts w:hint="eastAsia" w:ascii="Times New Roman" w:hAnsi="Times New Roman" w:cs="仿宋_GB2312"/>
          <w:sz w:val="32"/>
          <w:szCs w:val="32"/>
        </w:rPr>
        <w:t>　办理掩饰、隐瞒犯罪所得、犯罪所得收益刑事案件，应当综合考虑上游犯罪的性质和社会危害，掩饰、隐瞒犯罪所得及其收益的情节、后果和妨害司法秩序的程度等，依法定罪处罚。</w:t>
      </w:r>
    </w:p>
    <w:p w14:paraId="17DED69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第四条</w:t>
      </w:r>
      <w:r>
        <w:rPr>
          <w:rFonts w:hint="eastAsia" w:ascii="Times New Roman" w:hAnsi="Times New Roman" w:cs="仿宋_GB2312"/>
          <w:sz w:val="32"/>
          <w:szCs w:val="32"/>
        </w:rPr>
        <w:t>　掩饰、隐瞒犯罪所得及其收益，行为人认罪认罚并积极配合追缴犯罪所得及其收益，且具有下列情形之一，情节轻微的，可以不起诉或者免予刑事处罚：</w:t>
      </w:r>
    </w:p>
    <w:p w14:paraId="64BD63E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（一）具有法定从宽处罚情节的；</w:t>
      </w:r>
    </w:p>
    <w:p w14:paraId="6139187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（二）为近亲属掩饰、隐瞒犯罪所得及其收益，且系初犯、偶犯的；</w:t>
      </w:r>
    </w:p>
    <w:p w14:paraId="678E937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（三）配合司法机关追查上游犯罪起较大作用的；</w:t>
      </w:r>
    </w:p>
    <w:p w14:paraId="29394AF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（四）其他情节轻微、危害不大的。</w:t>
      </w:r>
    </w:p>
    <w:p w14:paraId="7783004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第五条</w:t>
      </w:r>
      <w:r>
        <w:rPr>
          <w:rFonts w:hint="eastAsia" w:ascii="Times New Roman" w:hAnsi="Times New Roman" w:cs="仿宋_GB2312"/>
          <w:sz w:val="32"/>
          <w:szCs w:val="32"/>
        </w:rPr>
        <w:t>　上游犯罪为非法采矿罪等定罪量刑数额标准相对较高的犯罪，掩饰、隐瞒犯罪所得及其收益的数额达到五百万元以上，且具有下列情形之一的，可以认定为刑法第三百一十二条第一款规定的“情节严重”：</w:t>
      </w:r>
    </w:p>
    <w:p w14:paraId="2EED8FF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（一）多次实施掩饰、隐瞒行为的；</w:t>
      </w:r>
    </w:p>
    <w:p w14:paraId="1F84831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明知掩饰、隐瞒的犯罪所得及其收益系电力设备、交通设施、广播电视设施、公用电信设施、军事设施或者救灾、抢险、防汛、优抚、移民、救济、防疫、社会捐助、社会保险基金等特定款物，仍实施掩饰、隐瞒行为的；</w:t>
      </w:r>
    </w:p>
    <w:p w14:paraId="590D998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（三）拒不配合财物追缴，致使赃款、赃物无法追缴的；</w:t>
      </w:r>
    </w:p>
    <w:p w14:paraId="7A113D5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（四）造成损失二百五十万元以上的；</w:t>
      </w:r>
    </w:p>
    <w:p w14:paraId="64C7F27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（五）其他情节严重的情形。</w:t>
      </w:r>
    </w:p>
    <w:p w14:paraId="59D1D98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上游犯罪为前款规定以外的其他犯罪，掩饰、隐瞒犯罪所得及其收益的数额达到五十万元以上，且具有前款规定第（一）（二）（三）（五）项情形之一，或者造成损失二十五万元以上的，可以认定为刑法第三百一十二条第一款规定的“情节严重”。</w:t>
      </w:r>
    </w:p>
    <w:p w14:paraId="0763A47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认定“情节严重”，应当注意与上游犯罪保持量刑均衡。</w:t>
      </w:r>
    </w:p>
    <w:p w14:paraId="007D145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第六条</w:t>
      </w:r>
      <w:r>
        <w:rPr>
          <w:rFonts w:hint="eastAsia" w:ascii="Times New Roman" w:hAnsi="Times New Roman" w:cs="仿宋_GB2312"/>
          <w:sz w:val="32"/>
          <w:szCs w:val="32"/>
        </w:rPr>
        <w:t>　掩饰、隐瞒犯罪所得及其收益的数额，应当以实施掩饰、隐瞒行为时为准。收购或者代为销售财物的价格高于其实际价值的，以收购或者代为销售的价格计算。</w:t>
      </w:r>
    </w:p>
    <w:p w14:paraId="440A4EC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多次实施掩饰、隐瞒犯罪所得及其收益行为，未经行政处罚，依法应当追诉的，犯罪所得、犯罪所得收益的数额应当累计计算。</w:t>
      </w:r>
    </w:p>
    <w:p w14:paraId="553A56A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第七条</w:t>
      </w:r>
      <w:r>
        <w:rPr>
          <w:rFonts w:hint="eastAsia" w:ascii="Times New Roman" w:hAnsi="Times New Roman" w:cs="仿宋_GB2312"/>
          <w:sz w:val="32"/>
          <w:szCs w:val="32"/>
        </w:rPr>
        <w:t>　事前与盗窃、抢劫、诈骗、抢夺等行为人通谋，掩饰、隐瞒犯罪所得及其收益，构成犯罪的，分别以盗窃、抢劫、诈骗、抢夺等犯罪的共犯论处。</w:t>
      </w:r>
    </w:p>
    <w:p w14:paraId="193CA94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第八条</w:t>
      </w:r>
      <w:r>
        <w:rPr>
          <w:rFonts w:hint="eastAsia" w:ascii="Times New Roman" w:hAnsi="Times New Roman" w:cs="仿宋_GB2312"/>
          <w:sz w:val="32"/>
          <w:szCs w:val="32"/>
        </w:rPr>
        <w:t>　对犯罪所得及其收益实施盗窃、抢劫、诈骗、抢夺等行为，构成犯罪的，分别以盗窃、抢劫、诈骗、抢夺等犯罪定罪处罚。</w:t>
      </w:r>
    </w:p>
    <w:p w14:paraId="7C8AE96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第九条</w:t>
      </w:r>
      <w:r>
        <w:rPr>
          <w:rFonts w:hint="eastAsia" w:ascii="Times New Roman" w:hAnsi="Times New Roman" w:cs="仿宋_GB2312"/>
          <w:sz w:val="32"/>
          <w:szCs w:val="32"/>
        </w:rPr>
        <w:t>　明知是犯罪所得及其收益而予以掩饰、隐瞒，构成掩饰、隐瞒犯罪所得、犯罪所得收益罪，同时构成其他犯罪的，依照处罚较重的规定定罪处罚。</w:t>
      </w:r>
    </w:p>
    <w:p w14:paraId="2C3156E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第十条</w:t>
      </w:r>
      <w:r>
        <w:rPr>
          <w:rFonts w:hint="eastAsia" w:ascii="Times New Roman" w:hAnsi="Times New Roman" w:cs="仿宋_GB2312"/>
          <w:sz w:val="32"/>
          <w:szCs w:val="32"/>
        </w:rPr>
        <w:t>　认定掩饰、隐瞒犯罪所得、犯罪所得收益罪，以上游犯罪事实存在为前提。</w:t>
      </w:r>
    </w:p>
    <w:p w14:paraId="3683652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上游犯罪事实经查证属实，但行为人尚未到案的，或者因行为人死亡、不具有刑事责任能力等原因依法不予追究刑事责任的，不影响掩饰、隐瞒犯罪所得、犯罪所得收益罪的认定。</w:t>
      </w:r>
    </w:p>
    <w:p w14:paraId="6C56406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第十一条</w:t>
      </w:r>
      <w:r>
        <w:rPr>
          <w:rFonts w:hint="eastAsia" w:ascii="Times New Roman" w:hAnsi="Times New Roman" w:cs="仿宋_GB2312"/>
          <w:sz w:val="32"/>
          <w:szCs w:val="32"/>
        </w:rPr>
        <w:t>　单位实施掩饰、隐瞒犯罪所得及其收益犯罪的，依照本解释规定的相应自然人犯罪的定罪量刑标准，对单位判处罚金，并对其直接负责的主管人员和其他直接责任人员定罪处罚。</w:t>
      </w:r>
    </w:p>
    <w:p w14:paraId="7888C71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盗用单位名义实施掩饰、隐瞒犯罪所得及其收益行为，违法所得由行为人私分的，依照刑法和司法解释有关自然人犯罪的规定定罪处罚。</w:t>
      </w:r>
    </w:p>
    <w:p w14:paraId="309AC02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第十二条</w:t>
      </w:r>
      <w:r>
        <w:rPr>
          <w:rFonts w:hint="eastAsia" w:ascii="Times New Roman" w:hAnsi="Times New Roman" w:cs="仿宋_GB2312"/>
          <w:sz w:val="32"/>
          <w:szCs w:val="32"/>
        </w:rPr>
        <w:t>　本解释自2025年8月26日起施行。《最高人民法院关于审理掩饰、隐瞒犯罪所得、犯罪所得收益刑事案件适用法律若干问题的解释》（法释〔2015〕11号）及《最高人民法院关于修改〈关于审理掩饰、隐瞒犯罪所得、犯罪所得收益刑事案件适用法律若干问题的解释〉的决定》（法释〔2021〕8号）同时废止。最高人民法院、最高人民检察院此前发布的司法解释与本解释不一致的，以本解释为准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altName w:val="HONOR Sans C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ONOR Sans CN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CBF3EA8"/>
    <w:rsid w:val="0D9804AC"/>
    <w:rsid w:val="0DDA791E"/>
    <w:rsid w:val="123353A1"/>
    <w:rsid w:val="130F49E2"/>
    <w:rsid w:val="13936861"/>
    <w:rsid w:val="17977775"/>
    <w:rsid w:val="1A015F59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D0951A3"/>
    <w:rsid w:val="2EC9480B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06E4292"/>
    <w:rsid w:val="4150251C"/>
    <w:rsid w:val="442624E3"/>
    <w:rsid w:val="479733DA"/>
    <w:rsid w:val="481351D2"/>
    <w:rsid w:val="4AB1034C"/>
    <w:rsid w:val="4EFC747A"/>
    <w:rsid w:val="5248189E"/>
    <w:rsid w:val="53543565"/>
    <w:rsid w:val="558A062C"/>
    <w:rsid w:val="55D20C3F"/>
    <w:rsid w:val="5B8E0527"/>
    <w:rsid w:val="5BE87A71"/>
    <w:rsid w:val="5DA237CF"/>
    <w:rsid w:val="5F066F8F"/>
    <w:rsid w:val="622F12CF"/>
    <w:rsid w:val="69623539"/>
    <w:rsid w:val="6A2E56A6"/>
    <w:rsid w:val="6A464C09"/>
    <w:rsid w:val="6C552A97"/>
    <w:rsid w:val="6D384E6C"/>
    <w:rsid w:val="7133370F"/>
    <w:rsid w:val="730257DC"/>
    <w:rsid w:val="775E649E"/>
    <w:rsid w:val="7BB07870"/>
    <w:rsid w:val="7E541E2C"/>
    <w:rsid w:val="7F82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1917</Words>
  <Characters>1947</Characters>
  <Lines>87</Lines>
  <Paragraphs>24</Paragraphs>
  <TotalTime>0</TotalTime>
  <ScaleCrop>false</ScaleCrop>
  <LinksUpToDate>false</LinksUpToDate>
  <CharactersWithSpaces>1960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神经蛙</cp:lastModifiedBy>
  <cp:lastPrinted>2024-07-19T01:09:00Z</cp:lastPrinted>
  <dcterms:modified xsi:type="dcterms:W3CDTF">2025-09-22T04:35:53Z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BD4D477C8A364F8E8CDCA6239BC55B7C_13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eyJoZGlkIjoiODM0YzQzMGFjMjUzMGYwODMwZjhmZTEzMTA0N2U0NTciLCJ1c2VySWQiOiI5OTQyMTQ2OTgifQ==</vt:lpwstr>
  </property>
</Properties>
</file>