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128EF57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城市绿化条例</w:t>
      </w:r>
    </w:p>
    <w:p w14:paraId="010CAE6A">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（1992年6月22日中华人民共和国国务院令第100号发布　根据2011年1月8日《国务院关于废止和修改部分行政法规的决定》第一次修订　根据2017年3月1日《国务院关于修改和废止部分行政法规的决定》第二次修订　根据2026年1月30日《国务院关于修改和废止部分行政法规的决定》第三次修订）</w:t>
      </w:r>
    </w:p>
    <w:p w14:paraId="25940380">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7BF8E494">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为了促进城市绿化事业的发展，改善生态环境，美化生活环境，增进人民身心健康，制定本条例。</w:t>
      </w:r>
    </w:p>
    <w:p w14:paraId="51ED97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本条例适用于在城市规划区内种植和养护树木花草等城市绿化的规划、建设、保护和管理。</w:t>
      </w:r>
    </w:p>
    <w:p w14:paraId="7123AA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城市人民政府应当把城市绿化建设纳入国民经济和社会发展计划。</w:t>
      </w:r>
    </w:p>
    <w:p w14:paraId="3AB104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国家鼓励和加强城市绿化的科学研究，推广先进技术，提高城市绿化的科学技术和艺术水平。</w:t>
      </w:r>
    </w:p>
    <w:p w14:paraId="775416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城市中的单位和有劳动能力的公民，应当依照国家有关规定履行植树或者其他绿化义务。</w:t>
      </w:r>
    </w:p>
    <w:p w14:paraId="13BFD5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对在城市绿化工作中成绩显著的单位和个人，由人民政府给予表彰和奖励。</w:t>
      </w:r>
    </w:p>
    <w:p w14:paraId="2EF062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国务院设立全国绿化委员会，统一组织领导全国城乡绿化工作，其办公室设在国务院林业行政主管部门。</w:t>
      </w:r>
    </w:p>
    <w:p w14:paraId="292113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国务院城市建设行政主管部门和国务院林业行政主管部门等，按照国务院规定的职权划分，负责全国城市绿化工作。</w:t>
      </w:r>
    </w:p>
    <w:p w14:paraId="4310334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地方绿化管理体制，由省、自治区、直辖市人民政府根据本地实际情况规定。</w:t>
      </w:r>
    </w:p>
    <w:p w14:paraId="2F1D517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城市人民政府城市绿化行政主管部门主管本行政区域内城市规划区的城市绿化工作。</w:t>
      </w:r>
    </w:p>
    <w:p w14:paraId="2A677A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在城市规划区内，有关法律、法规规定由林业行政主管部门等管理的绿化工作，依照有关法律、法规执行。</w:t>
      </w:r>
    </w:p>
    <w:p w14:paraId="7B195F91">
      <w:pPr>
        <w:rPr>
          <w:rFonts w:ascii="Times New Roman" w:hAnsi="Times New Roman" w:eastAsia="仿宋" w:cs="仿宋"/>
          <w:sz w:val="32"/>
          <w:szCs w:val="32"/>
        </w:rPr>
      </w:pPr>
    </w:p>
    <w:p w14:paraId="7670C77D">
      <w:pPr>
        <w:jc w:val="center"/>
        <w:rPr>
          <w:rFonts w:ascii="Times New Roman" w:hAnsi="Times New Roman" w:eastAsia="黑体" w:cs="黑体"/>
          <w:szCs w:val="32"/>
        </w:rPr>
      </w:pPr>
      <w:r>
        <w:rPr>
          <w:rFonts w:hint="eastAsia" w:ascii="Times New Roman" w:hAnsi="Times New Roman" w:eastAsia="黑体" w:cs="黑体"/>
          <w:sz w:val="32"/>
          <w:szCs w:val="32"/>
        </w:rPr>
        <w:t>第二章　规划和建设</w:t>
      </w:r>
    </w:p>
    <w:p w14:paraId="3C0A1B13">
      <w:pPr>
        <w:rPr>
          <w:rFonts w:ascii="Times New Roman" w:hAnsi="Times New Roman" w:eastAsia="仿宋" w:cs="仿宋"/>
          <w:sz w:val="32"/>
          <w:szCs w:val="32"/>
        </w:rPr>
      </w:pPr>
    </w:p>
    <w:p w14:paraId="08279A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城市人民政府应当组织城市规划行政主管部门和城市绿化行政主管部门等共同编制城市绿化规划，并纳入城市总体规划。</w:t>
      </w:r>
    </w:p>
    <w:p w14:paraId="7FFE3E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城市绿化规划应当从实际出发，根据城市发展需要，合理安排同城市人口和城市面积相适应的城市绿化用地面积。</w:t>
      </w:r>
    </w:p>
    <w:p w14:paraId="38DD81B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城市人均公共绿地面积和绿化覆盖率等规划指标，由国务院城市建设行政主管部门根据不同城市的性质、规模和自然条件等实际情况规定。</w:t>
      </w:r>
    </w:p>
    <w:p w14:paraId="622D9E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城市绿化规划应当根据当地的特点，利用原有的地形、地貌、水体、植被和历史文化遗址等自然、人文条件，以方便群众为原则，合理设置公共绿地、居住区绿地、防护绿地、生产绿地和风景林地等。</w:t>
      </w:r>
    </w:p>
    <w:p w14:paraId="69AAF8E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城市绿化工程的设计，应当委托持有相应资格证书的设计单位承担。</w:t>
      </w:r>
    </w:p>
    <w:p w14:paraId="6B61475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工程建设项目的附属绿化工程设计方案，按照基本建设程序审批时，必须有城市人民政府城市绿化行政主管部门参加审查。</w:t>
      </w:r>
    </w:p>
    <w:p w14:paraId="19FA7B0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建设单位必须按照批准的设计方案进行施工。设计方案确需改变时，须经原批准机关审批。</w:t>
      </w:r>
    </w:p>
    <w:p w14:paraId="6FDDA0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城市绿化工程的设计，应当借鉴国内外先进经验，体现民族风格和地方特色。城市公共绿地和居住区绿地的建设，应当以植物造景为主，选用适合当地自然条件的树木花草，并适当配置泉、石、雕塑等景物。</w:t>
      </w:r>
    </w:p>
    <w:p w14:paraId="1472E8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城市绿化规划应当因地制宜地规划不同类型的防护绿地。各有关单位应当依照国家有关规定，负责本单位管界内防护绿地的绿化建设。</w:t>
      </w:r>
    </w:p>
    <w:p w14:paraId="2904F5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单位附属绿地的绿化规划和建设，由该单位自行负责，城市人民政府城市绿化行政主管部门应当监督检查，并给予技术指导。</w:t>
      </w:r>
    </w:p>
    <w:p w14:paraId="22826D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城市苗圃、草圃、花圃等生产绿地的建设，应当适应城市绿化建设的需要。</w:t>
      </w:r>
    </w:p>
    <w:p w14:paraId="04DC8A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城市新建、扩建、改建工程项目和开发住宅区项目，需要绿化的，其基本建设投资中应当包括配套的绿化建设投资，并统一安排绿化工程施工，在规定的期限内完成绿化任务。</w:t>
      </w:r>
    </w:p>
    <w:p w14:paraId="7720226E">
      <w:pPr>
        <w:rPr>
          <w:rFonts w:ascii="Times New Roman" w:hAnsi="Times New Roman" w:eastAsia="仿宋" w:cs="仿宋"/>
          <w:sz w:val="32"/>
          <w:szCs w:val="32"/>
        </w:rPr>
      </w:pPr>
    </w:p>
    <w:p w14:paraId="12FFE75B">
      <w:pPr>
        <w:jc w:val="center"/>
        <w:rPr>
          <w:rFonts w:ascii="Times New Roman" w:hAnsi="Times New Roman" w:eastAsia="黑体" w:cs="黑体"/>
          <w:szCs w:val="32"/>
        </w:rPr>
      </w:pPr>
      <w:r>
        <w:rPr>
          <w:rFonts w:hint="eastAsia" w:ascii="Times New Roman" w:hAnsi="Times New Roman" w:eastAsia="黑体" w:cs="黑体"/>
          <w:sz w:val="32"/>
          <w:szCs w:val="32"/>
        </w:rPr>
        <w:t>第三章　保护和管理</w:t>
      </w:r>
    </w:p>
    <w:p w14:paraId="7C3FDE70">
      <w:pPr>
        <w:rPr>
          <w:rFonts w:ascii="Times New Roman" w:hAnsi="Times New Roman" w:eastAsia="仿宋" w:cs="仿宋"/>
          <w:sz w:val="32"/>
          <w:szCs w:val="32"/>
        </w:rPr>
      </w:pPr>
    </w:p>
    <w:p w14:paraId="1228D3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城市的公共绿地、风景林地、防护绿地、行道树及干道绿化带的绿化，由城市人民政府城市绿化行政主管部门管理；各单位管界内的防护绿地的绿化，由该单位按照国家有关规定管理；单位自建的公园和单位附属绿地的绿化，由该单位管理；居住区绿地的绿化，由城市人民政府城市绿化行政主管部门根据实际情况确定的单位管理；城市苗圃、草圃和花圃等，由其经营单位管理。</w:t>
      </w:r>
    </w:p>
    <w:p w14:paraId="103A25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任何单位和个人都不得擅自改变城市绿化规划用地性质或者破坏绿化规划用地的地形、地貌、水体和植被。</w:t>
      </w:r>
    </w:p>
    <w:p w14:paraId="7ADF00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任何单位和个人都不得擅自占用城市绿化用地；占用的城市绿化用地，应当限期归还。</w:t>
      </w:r>
    </w:p>
    <w:p w14:paraId="400297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因建设或者其他特殊需要临时占用城市绿化用地，须经城市人民政府城市绿化行政主管部门同意，并按照有关规定办理临时用地手续。</w:t>
      </w:r>
    </w:p>
    <w:p w14:paraId="0035F9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任何单位和个人都不得损坏城市树木花草和绿化设施。</w:t>
      </w:r>
    </w:p>
    <w:p w14:paraId="3BD9C77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砍伐城市树木，必须经城市人民政府城市绿化行政主管部门批准，并按照国家有关规定补植树木或者采取其他补救措施。</w:t>
      </w:r>
    </w:p>
    <w:p w14:paraId="32F2DC8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在城市的公共绿地内开设商业、服务摊点的，应当持市场监督管理部门批准的营业执照，在公共绿地管理单位指定的地点从事经营活动，并遵守公共绿地和市场监督管理的规定。</w:t>
      </w:r>
    </w:p>
    <w:p w14:paraId="0DEDD3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城市的绿地管理单位，应当建立、健全管理制度，保持树木花草繁茂及绿化设施完好。</w:t>
      </w:r>
    </w:p>
    <w:p w14:paraId="2CC2E1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为保证管线的安全使用需要修剪树木时，应当按照兼顾管线安全使用和树木正常生长的原则进行修剪。承担修剪费用的办法，由城市人民政府规定。</w:t>
      </w:r>
    </w:p>
    <w:p w14:paraId="5D2072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因不可抗力致使树木倾斜危及管线安全时，管线管理单位可以先行扶正或者砍伐树木，但是，应当及时报告城市人民政府城市绿化行政主管部门和绿地管理单位。</w:t>
      </w:r>
    </w:p>
    <w:p w14:paraId="4ED248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城市古树名木的保护，依照《古树名木保护条例》的规定执行。</w:t>
      </w:r>
    </w:p>
    <w:p w14:paraId="6E3BAA0C">
      <w:pPr>
        <w:rPr>
          <w:rFonts w:ascii="Times New Roman" w:hAnsi="Times New Roman" w:eastAsia="仿宋" w:cs="仿宋"/>
          <w:sz w:val="32"/>
          <w:szCs w:val="32"/>
        </w:rPr>
      </w:pPr>
    </w:p>
    <w:p w14:paraId="072CA53E">
      <w:pPr>
        <w:jc w:val="center"/>
        <w:rPr>
          <w:rFonts w:ascii="Times New Roman" w:hAnsi="Times New Roman" w:eastAsia="黑体" w:cs="黑体"/>
          <w:szCs w:val="32"/>
        </w:rPr>
      </w:pPr>
      <w:r>
        <w:rPr>
          <w:rFonts w:hint="eastAsia" w:ascii="Times New Roman" w:hAnsi="Times New Roman" w:eastAsia="黑体" w:cs="黑体"/>
          <w:sz w:val="32"/>
          <w:szCs w:val="32"/>
        </w:rPr>
        <w:t>第四章　罚　　则</w:t>
      </w:r>
    </w:p>
    <w:p w14:paraId="07A892A3">
      <w:pPr>
        <w:rPr>
          <w:rFonts w:ascii="Times New Roman" w:hAnsi="Times New Roman" w:eastAsia="仿宋" w:cs="仿宋"/>
          <w:sz w:val="32"/>
          <w:szCs w:val="32"/>
        </w:rPr>
      </w:pPr>
    </w:p>
    <w:p w14:paraId="0C12B9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工程建设项目的附属绿化工程设计方案，未经批准或者未按照批准的设计方案施工的，由城市人民政府城市绿化行政主管部门责令停止施工、限期改正或者采取其他补救措施。</w:t>
      </w:r>
    </w:p>
    <w:p w14:paraId="402C73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违反本条例规定，有下列行为之一的，由城市人民政府城市绿化行政主管部门或者其授权的单位责令停止侵害，可以并处罚款；造成损失的，应当负赔偿责任；应当给予治安管理处罚的，依照《中华人民共和国治安管理处罚法》的有关规定处罚；构成犯罪的，依法追究刑事责任：</w:t>
      </w:r>
    </w:p>
    <w:p w14:paraId="6D94BD6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（一）损坏城市树木花草的；</w:t>
      </w:r>
    </w:p>
    <w:p w14:paraId="272C04F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w:t>
      </w:r>
      <w:bookmarkStart w:id="0" w:name="_GoBack"/>
      <w:bookmarkEnd w:id="0"/>
      <w:r>
        <w:rPr>
          <w:rFonts w:hint="eastAsia" w:ascii="Times New Roman" w:hAnsi="Times New Roman" w:eastAsia="仿宋" w:cs="仿宋"/>
          <w:sz w:val="32"/>
          <w:szCs w:val="32"/>
        </w:rPr>
        <w:t>）擅自砍伐城市树木的；</w:t>
      </w:r>
    </w:p>
    <w:p w14:paraId="69FADA4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（三）损坏城市绿化设施的。</w:t>
      </w:r>
    </w:p>
    <w:p w14:paraId="3E1926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未经同意擅自占用城市绿化用地的，由城市人民政府城市绿化行政主管部门责令限期退还、恢复原状，可以并处罚款；造成损失的，应当负赔偿责任。</w:t>
      </w:r>
    </w:p>
    <w:p w14:paraId="58F29B6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对不服从公共绿地管理单位管理的商业、服务摊点，由城市人民政府城市绿化行政主管部门或者其授权的单位给予警告，可以并处罚款；情节严重的，可以提请市场监督管理部门吊销营业执照。</w:t>
      </w:r>
    </w:p>
    <w:p w14:paraId="6DDF4B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对违反本条例的直接责任人员或者单位负责人，可以由其所在单位或者上级主管机关依法给予处分；构成犯罪的，依法追究刑事责任。</w:t>
      </w:r>
    </w:p>
    <w:p w14:paraId="6919D6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城市人民政府城市绿化行政主管部门和城市绿地管理单位的工作人员玩忽职守、滥用职权、徇私舞弊的，由其所在单位或者上级主管机关依法给予处分；构成犯罪的，依法追究刑事责任。</w:t>
      </w:r>
    </w:p>
    <w:p w14:paraId="45AD0F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当事人对行政处罚决定不服的，可以依法申请行政复议，也可以依法提起行政诉讼。当事人逾期不申请行政复议或者不向人民法院起诉又不履行行政处罚决定的，由作出行政处罚决定的机关申请人民法院强制执行。</w:t>
      </w:r>
    </w:p>
    <w:p w14:paraId="51589F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对治安管理处罚不服的，依照《中华人民共和国治安管理处罚法》的规定执行。</w:t>
      </w:r>
    </w:p>
    <w:p w14:paraId="00ABDDD4">
      <w:pPr>
        <w:rPr>
          <w:rFonts w:ascii="Times New Roman" w:hAnsi="Times New Roman" w:eastAsia="仿宋" w:cs="仿宋"/>
          <w:sz w:val="32"/>
          <w:szCs w:val="32"/>
        </w:rPr>
      </w:pPr>
    </w:p>
    <w:p w14:paraId="0FA8C1EC">
      <w:pPr>
        <w:jc w:val="center"/>
        <w:rPr>
          <w:rFonts w:ascii="Times New Roman" w:hAnsi="Times New Roman" w:eastAsia="黑体" w:cs="黑体"/>
          <w:szCs w:val="32"/>
        </w:rPr>
      </w:pPr>
      <w:r>
        <w:rPr>
          <w:rFonts w:hint="eastAsia" w:ascii="Times New Roman" w:hAnsi="Times New Roman" w:eastAsia="黑体" w:cs="黑体"/>
          <w:sz w:val="32"/>
          <w:szCs w:val="32"/>
        </w:rPr>
        <w:t>第五章　附　　则</w:t>
      </w:r>
    </w:p>
    <w:p w14:paraId="4C6F8419">
      <w:pPr>
        <w:rPr>
          <w:rFonts w:ascii="Times New Roman" w:hAnsi="Times New Roman" w:eastAsia="仿宋" w:cs="仿宋"/>
          <w:sz w:val="32"/>
          <w:szCs w:val="32"/>
        </w:rPr>
      </w:pPr>
    </w:p>
    <w:p w14:paraId="2A275A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省、自治区、直辖市人民政府可以依照本条例制定实施办法。</w:t>
      </w:r>
    </w:p>
    <w:p w14:paraId="0FC5FAC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本条例自1992年8月1日起施行。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auto"/>
    <w:pitch w:val="default"/>
    <w:sig w:usb0="00000001" w:usb1="080E0000" w:usb2="00000000" w:usb3="00000000" w:csb0="00040000" w:csb1="00000000"/>
  </w:font>
  <w:font w:name="方正黑体_GBK">
    <w:panose1 w:val="02010600010101010101"/>
    <w:charset w:val="86"/>
    <w:family w:val="script"/>
    <w:pitch w:val="default"/>
    <w:sig w:usb0="00000001" w:usb1="080E0000" w:usb2="00000000" w:usb3="00000000" w:csb0="00040000" w:csb1="00000000"/>
  </w:font>
  <w:font w:name="ˎ̥">
    <w:altName w:val="HONOR Sans CN"/>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HONOR Sans CN">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CE703BF"/>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2797</Words>
  <Characters>2816</Characters>
  <Lines>87</Lines>
  <Paragraphs>24</Paragraphs>
  <TotalTime>2</TotalTime>
  <ScaleCrop>false</ScaleCrop>
  <LinksUpToDate>false</LinksUpToDate>
  <CharactersWithSpaces>2862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神经蛙</cp:lastModifiedBy>
  <cp:lastPrinted>2024-07-19T01:09:00Z</cp:lastPrinted>
  <dcterms:modified xsi:type="dcterms:W3CDTF">2026-09-17T03:27:38Z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eyJoZGlkIjoiODM0YzQzMGFjMjUzMGYwODMwZjhmZTEzMTA0N2U0NTciLCJ1c2VySWQiOiI5OTQyMTQ2OTgifQ==</vt:lpwstr>
  </property>
</Properties>
</file>