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CC327A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西藏自治区人民代表大会常务委员会关于修改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《西藏自治区建筑市场管理条例》和废止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《西藏自治区城乡规划条例》的决定</w:t>
      </w:r>
    </w:p>
    <w:p w14:paraId="217F0CB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（2025年11月28日西藏自治区第十二届人民代表大会常务委员会第二十次会议通过）</w:t>
      </w:r>
    </w:p>
    <w:p w14:paraId="7FF1B3CB">
      <w:pPr>
        <w:rPr>
          <w:rFonts w:ascii="Times New Roman" w:hAnsi="Times New Roman" w:eastAsia="宋体" w:cs="宋体"/>
          <w:szCs w:val="32"/>
        </w:rPr>
      </w:pP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一、对《西藏自治区建筑市场管理条例》作出修改</w:t>
      </w: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（一）删去第七条第一款、第二十六条第一款中的“造价咨询”。</w:t>
      </w:r>
    </w:p>
    <w:p w14:paraId="754F052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修改为：“从事建筑活动的勘察、设计、施工、监理、招标代理、工程质量检测、造价咨询等单位，应当按照国家和自治区有关规定，在自治区人民政府住房和城乡建设主管部门信息化监管平台登记单位、从业人员等相关信息。”</w:t>
      </w:r>
    </w:p>
    <w:p w14:paraId="0FBA84CB">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（三）删去第四十二条。</w:t>
      </w:r>
    </w:p>
    <w:p w14:paraId="374EB30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二、废止《西藏自治区城乡规划条例》</w:t>
      </w:r>
    </w:p>
    <w:p w14:paraId="011363A7">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本决定自2025年12月1日起施行。</w:t>
      </w:r>
    </w:p>
    <w:p w14:paraId="0B3C36C9">
      <w:pPr>
        <w:ind w:firstLine="632" w:firstLineChars="200"/>
        <w:rPr>
          <w:rFonts w:ascii="Times New Roman" w:hAnsi="Times New Roman" w:cs="仿宋_GB2312"/>
          <w:sz w:val="32"/>
          <w:szCs w:val="32"/>
        </w:rPr>
      </w:pPr>
      <w:r>
        <w:rPr>
          <w:rFonts w:hint="eastAsia" w:ascii="Times New Roman" w:hAnsi="Times New Roman" w:cs="仿宋_GB2312"/>
          <w:sz w:val="32"/>
          <w:szCs w:val="32"/>
        </w:rPr>
        <w:t>《西藏自治区建筑市场管理条例》根据本决定作相应修改，并对条文顺序作相应调整，重新公布。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8EB3926"/>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334</Words>
  <Characters>343</Characters>
  <Lines>87</Lines>
  <Paragraphs>24</Paragraphs>
  <TotalTime>2</TotalTime>
  <ScaleCrop>false</ScaleCrop>
  <LinksUpToDate>false</LinksUpToDate>
  <CharactersWithSpaces>343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2025-12-10T08:00:13Z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