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D3ED20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安徽省人民代表大会常务委员会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关于进一步促进数字经济高质量发展的决定</w:t>
      </w:r>
    </w:p>
    <w:p w14:paraId="56F244B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（2025年7月10日安徽省第十四届人民代表大会常务委员会第十七次会议通过）</w:t>
      </w:r>
    </w:p>
    <w:p w14:paraId="45BFE147">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为了进一步加快发展数字经济，促进数字经济和实体经济深度融合，发展壮大新质生产力，以高质量发展推进中国式现代化美好安徽建设，根据有关法律、行政法规，结合本省实际，作如下决定。</w:t>
      </w: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一、</w:t>
      </w:r>
      <w:r>
        <w:rPr>
          <w:rFonts w:hint="eastAsia" w:ascii="Times New Roman" w:hAnsi="Times New Roman" w:cs="仿宋_GB2312"/>
          <w:sz w:val="32"/>
          <w:szCs w:val="32"/>
        </w:rPr>
        <w:t>本决定所称数字经济，是指以数据资源为关键要素，以先进数智技术为核心驱动，以数字产品制造、数字技术应用、数字基础设施为主要支撑，推动生产生活方式变革、经济运行和社会治理效能提升的一系列经济活动，是以数字产品加工和服务为特征的一种经济形态。</w:t>
      </w:r>
    </w:p>
    <w:p w14:paraId="3C51F3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w:t>
      </w:r>
      <w:r>
        <w:rPr>
          <w:rFonts w:hint="eastAsia" w:ascii="Times New Roman" w:hAnsi="Times New Roman" w:cs="仿宋_GB2312"/>
          <w:sz w:val="32"/>
          <w:szCs w:val="32"/>
        </w:rPr>
        <w:t>发展数字经济应当遵循创新引领、数实融合，拓展应用、数智赋能，重点突破、集群发展，开放合作、互利共赢，流通共享、安全有序的原则。</w:t>
      </w:r>
    </w:p>
    <w:p w14:paraId="38D111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三、</w:t>
      </w:r>
      <w:r>
        <w:rPr>
          <w:rFonts w:hint="eastAsia" w:ascii="Times New Roman" w:hAnsi="Times New Roman" w:cs="仿宋_GB2312"/>
          <w:sz w:val="32"/>
          <w:szCs w:val="32"/>
        </w:rPr>
        <w:t>省人民政府应当加强对全省数字经济发展的组织领导，统筹规划、制定政策、部署推动，协调解决发展中的重大问题，营造有竞争力的发展生态，努力在全国数字经济发展中往前赶。</w:t>
      </w:r>
    </w:p>
    <w:p w14:paraId="12A4AA2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县级以上人民政府应当结合本地产业基础和发展条件，将数字经济发展工作纳入国民经济和社会发展规划，并根据实际需要制定本地区数字经济发展规划、实施方案或者行动计划，强化政策支持和要素保障。</w:t>
      </w:r>
    </w:p>
    <w:p w14:paraId="23FF1C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四、</w:t>
      </w:r>
      <w:r>
        <w:rPr>
          <w:rFonts w:hint="eastAsia" w:ascii="Times New Roman" w:hAnsi="Times New Roman" w:cs="仿宋_GB2312"/>
          <w:sz w:val="32"/>
          <w:szCs w:val="32"/>
        </w:rPr>
        <w:t>省人民政府发展改革部门负责统筹协调全省数字经济发展工作。</w:t>
      </w:r>
    </w:p>
    <w:p w14:paraId="00C29273">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设区的市、县级人民政府发展改革部门或者设区的市、县级人民政府确定的其他部门负责统筹协调本行政区域内的数字经济发展工作。</w:t>
      </w:r>
    </w:p>
    <w:p w14:paraId="41812AF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县级以上人民政府其他有关部门按照各自职责，做好数字经济发展相关工作。</w:t>
      </w:r>
    </w:p>
    <w:p w14:paraId="14A0EA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五、</w:t>
      </w:r>
      <w:r>
        <w:rPr>
          <w:rFonts w:hint="eastAsia" w:ascii="Times New Roman" w:hAnsi="Times New Roman" w:cs="仿宋_GB2312"/>
          <w:sz w:val="32"/>
          <w:szCs w:val="32"/>
        </w:rPr>
        <w:t>加快网络基础设施建设，构建泛在互联、绿色高效的高速智能通信网络，保障合肥国家级互联网骨干直联点稳定有效运行，推进万兆光纤网络试点建设，支持专业互联网及平台体系建设。</w:t>
      </w:r>
    </w:p>
    <w:p w14:paraId="27676EAF">
      <w:pPr>
        <w:ind w:firstLine="632" w:firstLineChars="200"/>
        <w:rPr>
          <w:rFonts w:ascii="Times New Roman" w:hAnsi="Times New Roman" w:cs="仿宋_GB2312"/>
          <w:sz w:val="32"/>
          <w:szCs w:val="32"/>
        </w:rPr>
      </w:pPr>
      <w:r>
        <w:rPr>
          <w:rFonts w:hint="eastAsia" w:ascii="Times New Roman" w:hAnsi="Times New Roman" w:cs="仿宋_GB2312"/>
          <w:sz w:val="32"/>
          <w:szCs w:val="32"/>
        </w:rPr>
        <w:t>促进融合基础设施建设，加快推进全省传统基础设施数智化改造提升。</w:t>
      </w:r>
    </w:p>
    <w:p w14:paraId="66AA16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六、</w:t>
      </w:r>
      <w:r>
        <w:rPr>
          <w:rFonts w:hint="eastAsia" w:ascii="Times New Roman" w:hAnsi="Times New Roman" w:cs="仿宋_GB2312"/>
          <w:sz w:val="32"/>
          <w:szCs w:val="32"/>
        </w:rPr>
        <w:t>优化全省算力基础设施布局，构建多层次的算力支撑体系，提升智能算力调度能力和服务水平，加快推进全国一体化算力网络长三角国家枢纽节点芜湖数据中心集群建设，探索推进通用算力、智能算力、超级算力、量子算力融合发展。</w:t>
      </w:r>
    </w:p>
    <w:p w14:paraId="4CE4D1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七、</w:t>
      </w:r>
      <w:r>
        <w:rPr>
          <w:rFonts w:hint="eastAsia" w:ascii="Times New Roman" w:hAnsi="Times New Roman" w:cs="仿宋_GB2312"/>
          <w:sz w:val="32"/>
          <w:szCs w:val="32"/>
        </w:rPr>
        <w:t>强化数字技术创新应用，围绕数字经济重点产业，充分发挥国家实验室、合肥综合性国家科学中心、高等院校、科研院所和科技领军企业等战略科技力量作用，加强关键核心技术攻关，提高数字经济核心竞争力。支持高等院校、科研机构与企业共建新技术验证中心、中试研究基地等合作平台。支持通过技术转让、作价入股、合作实施等多种方式，推动数字技术创新成果转化应用。</w:t>
      </w:r>
    </w:p>
    <w:p w14:paraId="4E8178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八、</w:t>
      </w:r>
      <w:r>
        <w:rPr>
          <w:rFonts w:hint="eastAsia" w:ascii="Times New Roman" w:hAnsi="Times New Roman" w:cs="仿宋_GB2312"/>
          <w:sz w:val="32"/>
          <w:szCs w:val="32"/>
        </w:rPr>
        <w:t>构建可信可管、互联互通、价值共创的数据空间，促进数据要素高效流通使用。建立健全数据产权交易机制，发展数据流通交易市场，积极培育发展数据集成、数据标注、数据经纪、数据保险、数据托管等第三方专业服务机构。</w:t>
      </w:r>
    </w:p>
    <w:p w14:paraId="60C8FB3F">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开展数据资产评估、质押融资等试点，支持金融机构开发基于数据资产、数据收益权的创新金融产品，推动数据由资源向资产转化。</w:t>
      </w:r>
    </w:p>
    <w:p w14:paraId="5D95E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九、</w:t>
      </w:r>
      <w:r>
        <w:rPr>
          <w:rFonts w:hint="eastAsia" w:ascii="Times New Roman" w:hAnsi="Times New Roman" w:cs="仿宋_GB2312"/>
          <w:sz w:val="32"/>
          <w:szCs w:val="32"/>
        </w:rPr>
        <w:t>扩大公共数据资源供给，推进公共数据资源登记，开展公共数据资源授权运营，提高公共数据资源配置效率和使用效益。</w:t>
      </w:r>
    </w:p>
    <w:p w14:paraId="28B20386">
      <w:pPr>
        <w:ind w:firstLine="632" w:firstLineChars="200"/>
        <w:rPr>
          <w:rFonts w:ascii="Times New Roman" w:hAnsi="Times New Roman" w:cs="仿宋_GB2312"/>
          <w:sz w:val="32"/>
          <w:szCs w:val="32"/>
        </w:rPr>
      </w:pPr>
      <w:r>
        <w:rPr>
          <w:rFonts w:hint="eastAsia" w:ascii="Times New Roman" w:hAnsi="Times New Roman" w:cs="仿宋_GB2312"/>
          <w:sz w:val="32"/>
          <w:szCs w:val="32"/>
        </w:rPr>
        <w:t>推进高质量数据集建设，推动公共数据产品（服务）入场交易，鼓励行政事业单位、国有企业进场采购数据产品（服务），支持数商和数据产业发展壮大。聚焦数据产权、一体化数据市场、安全治理等制度创新，高水平建设安徽国家数据要素综合试验区。</w:t>
      </w:r>
    </w:p>
    <w:p w14:paraId="3E98F0FD">
      <w:pPr>
        <w:ind w:firstLine="632" w:firstLineChars="200"/>
        <w:rPr>
          <w:rFonts w:ascii="Times New Roman" w:hAnsi="Times New Roman" w:cs="仿宋_GB2312"/>
          <w:sz w:val="32"/>
          <w:szCs w:val="32"/>
        </w:rPr>
      </w:pPr>
      <w:r>
        <w:rPr>
          <w:rFonts w:hint="eastAsia" w:ascii="Times New Roman" w:hAnsi="Times New Roman" w:cs="仿宋_GB2312"/>
          <w:sz w:val="32"/>
          <w:szCs w:val="32"/>
        </w:rPr>
        <w:t>引导企业和其他组织依法开放自有数据资源，推动跨行业跨领域数据互通共享。</w:t>
      </w:r>
    </w:p>
    <w:p w14:paraId="089E0B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w:t>
      </w:r>
      <w:r>
        <w:rPr>
          <w:rFonts w:hint="eastAsia" w:ascii="Times New Roman" w:hAnsi="Times New Roman" w:cs="仿宋_GB2312"/>
          <w:sz w:val="32"/>
          <w:szCs w:val="32"/>
        </w:rPr>
        <w:t>围绕数字经济核心产业，突出特色优势，明确重点方向，因地制宜推动集聚发展，打造集成电路、人工智能、数字创意、智能传感、新型显示等具有国际竞争力的数字产业集群。</w:t>
      </w:r>
    </w:p>
    <w:p w14:paraId="130B576D">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支持发展平台经济、共享经济、无人经济等数字经济新业态和新模式，持续培育量子科技、空天信息、未来网络与数据空间等数字经济未来产业。</w:t>
      </w:r>
    </w:p>
    <w:p w14:paraId="4A062D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十一、</w:t>
      </w:r>
      <w:r>
        <w:rPr>
          <w:rFonts w:hint="eastAsia" w:ascii="Times New Roman" w:hAnsi="Times New Roman" w:cs="仿宋_GB2312"/>
          <w:sz w:val="32"/>
          <w:szCs w:val="32"/>
        </w:rPr>
        <w:t>加快人工智能技术与产业发展，优化提升人工智能创新体系，坚持有益、安全、公平，支持在通用人工智能、类脑智能、具身智能、脑机接口等重点领域布局，加快推进“人工智能＋”在科技创新、产业升级、公共服务、社会民生等领域的应用。</w:t>
      </w:r>
    </w:p>
    <w:p w14:paraId="19C3ACB0">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制定完善相关地方性法规、政策制度、应用规范、伦理准则，建立技术监测、风险防范机制，确保人工智能安全、可靠、可控。</w:t>
      </w:r>
    </w:p>
    <w:p w14:paraId="4B27C9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十二、</w:t>
      </w:r>
      <w:r>
        <w:rPr>
          <w:rFonts w:hint="eastAsia" w:ascii="Times New Roman" w:hAnsi="Times New Roman" w:cs="仿宋_GB2312"/>
          <w:sz w:val="32"/>
          <w:szCs w:val="32"/>
        </w:rPr>
        <w:t>支持依托现有开发园区和城乡特定空间优化提升软件产业园布局，结合园区发展基础和特色，创优软件产业生态，加强专业人才和团队招引集聚，加快通用软件、工业软件、行业应用软件、嵌入式软件、平台软件等软件产业创新发展。</w:t>
      </w:r>
    </w:p>
    <w:p w14:paraId="23665CF7">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支持具有自主核心技术的开源社区、开源项目发展，推动创新资源共建共享。</w:t>
      </w:r>
    </w:p>
    <w:p w14:paraId="30E99F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十三、</w:t>
      </w:r>
      <w:r>
        <w:rPr>
          <w:rFonts w:hint="eastAsia" w:ascii="Times New Roman" w:hAnsi="Times New Roman" w:cs="仿宋_GB2312"/>
          <w:sz w:val="32"/>
          <w:szCs w:val="32"/>
        </w:rPr>
        <w:t>高水平发展数字创意产业，支持创作富有竞争力、感染力、影响力的数字动漫、网络游戏、网络视听、数字演艺、数字广告等精品。建设提升创意产业园区及孵化平台，集聚创意团队和企业，培育打造更多的品牌创意产品。</w:t>
      </w:r>
    </w:p>
    <w:p w14:paraId="5AE4A0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十四、</w:t>
      </w:r>
      <w:r>
        <w:rPr>
          <w:rFonts w:hint="eastAsia" w:ascii="Times New Roman" w:hAnsi="Times New Roman" w:cs="仿宋_GB2312"/>
          <w:sz w:val="32"/>
          <w:szCs w:val="32"/>
        </w:rPr>
        <w:t>加快发展数字贸易，培育壮大数字贸易经营主体，用足自由贸易试验区提升数据跨境流动便利化政策，扩大数字产品、服务和技术出口，不断拓展国际市场空间。高水平建设跨境电商综合试验区，以“跨境电商+产业带”发展，带动跨境电商交易规模和效益提升。积极发展“来数加工+两头在外”离岸数据服务外包、离岸数据交易平台等新业态。</w:t>
      </w:r>
    </w:p>
    <w:p w14:paraId="1BC512D2">
      <w:pPr>
        <w:ind w:firstLine="632" w:firstLineChars="200"/>
        <w:rPr>
          <w:rFonts w:ascii="Times New Roman" w:hAnsi="Times New Roman" w:cs="仿宋_GB2312"/>
          <w:sz w:val="32"/>
          <w:szCs w:val="32"/>
        </w:rPr>
      </w:pPr>
      <w:r>
        <w:rPr>
          <w:rFonts w:hint="eastAsia" w:ascii="Times New Roman" w:hAnsi="Times New Roman" w:cs="仿宋_GB2312"/>
          <w:sz w:val="32"/>
          <w:szCs w:val="32"/>
        </w:rPr>
        <w:t>对接国际高标准经贸规则，强化自由贸易试验区制度创新，加快数字经济深度融入国际循环。</w:t>
      </w:r>
    </w:p>
    <w:p w14:paraId="2FE7E3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十五、</w:t>
      </w:r>
      <w:r>
        <w:rPr>
          <w:rFonts w:hint="eastAsia" w:ascii="Times New Roman" w:hAnsi="Times New Roman" w:cs="仿宋_GB2312"/>
          <w:sz w:val="32"/>
          <w:szCs w:val="32"/>
        </w:rPr>
        <w:t>推动传统优势产业数字化转型，按照“一业一策”提升煤电、钢铁、有色、建材、化工、纺织等产业全生命周期智能化水平，加快工业互联网平台普及应用，加速产业模式和企业组织形态变革。</w:t>
      </w:r>
    </w:p>
    <w:p w14:paraId="3423AF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十六、</w:t>
      </w:r>
      <w:r>
        <w:rPr>
          <w:rFonts w:hint="eastAsia" w:ascii="Times New Roman" w:hAnsi="Times New Roman" w:cs="仿宋_GB2312"/>
          <w:sz w:val="32"/>
          <w:szCs w:val="32"/>
        </w:rPr>
        <w:t>加快推进生产性服务业数智化网络化，提高现代物流、检验检测、商务法务、人力资源等服务品质和企业效益。持续推进生活性服务业与数智技术深度融合，创新教育、医疗、健康、养老等服务模式和业态，加快发展智慧教育、智慧医疗、智慧健康、智慧养老。</w:t>
      </w:r>
    </w:p>
    <w:p w14:paraId="7F615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十七、</w:t>
      </w:r>
      <w:r>
        <w:rPr>
          <w:rFonts w:hint="eastAsia" w:ascii="Times New Roman" w:hAnsi="Times New Roman" w:cs="仿宋_GB2312"/>
          <w:sz w:val="32"/>
          <w:szCs w:val="32"/>
        </w:rPr>
        <w:t>积极发展数字金融，促进数智技术在金融领域的创新应用，按照国家规定丰富数字人民币应用场景，推进数字金融与产业链、供应链融合，建立精准服务中小微企业数字金融体系。</w:t>
      </w:r>
    </w:p>
    <w:p w14:paraId="030B69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十八、</w:t>
      </w:r>
      <w:r>
        <w:rPr>
          <w:rFonts w:hint="eastAsia" w:ascii="Times New Roman" w:hAnsi="Times New Roman" w:cs="仿宋_GB2312"/>
          <w:sz w:val="32"/>
          <w:szCs w:val="32"/>
        </w:rPr>
        <w:t>加快发展智慧文旅，提升全省文旅公共服务平台数智化水平，培育发展云旅游、云服务等网络体验和消费模式，促进文旅业线上线下融合发展。支持皖南国际旅游文化示范区拓展智慧旅游示范，构建虚实结合、互动体验的文旅消费新业态。</w:t>
      </w:r>
    </w:p>
    <w:p w14:paraId="3D3C96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十九、</w:t>
      </w:r>
      <w:r>
        <w:rPr>
          <w:rFonts w:hint="eastAsia" w:ascii="Times New Roman" w:hAnsi="Times New Roman" w:cs="仿宋_GB2312"/>
          <w:sz w:val="32"/>
          <w:szCs w:val="32"/>
        </w:rPr>
        <w:t>加力发展智慧农业，聚焦江淮粮仓、绿色食品产业、“千万工程”等重点领域，加快物联网、大数据、人工智能、机器人等数智技术推广应用，提升发展农业产业互联网，建设智慧农场、牧场、渔场，不断催生农业新质生产力。</w:t>
      </w:r>
    </w:p>
    <w:p w14:paraId="3D534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w:t>
      </w:r>
      <w:r>
        <w:rPr>
          <w:rFonts w:hint="eastAsia" w:ascii="Times New Roman" w:hAnsi="Times New Roman" w:cs="仿宋_GB2312"/>
          <w:sz w:val="32"/>
          <w:szCs w:val="32"/>
        </w:rPr>
        <w:t>统筹推进城市全域数字化转型和数字乡村建设，推动数智技术在行政事务中的创新应用，提升政府治理效能和公共服务水平。</w:t>
      </w:r>
    </w:p>
    <w:p w14:paraId="19BB5F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二十一、</w:t>
      </w:r>
      <w:r>
        <w:rPr>
          <w:rFonts w:hint="eastAsia" w:ascii="Times New Roman" w:hAnsi="Times New Roman" w:cs="仿宋_GB2312"/>
          <w:sz w:val="32"/>
          <w:szCs w:val="32"/>
        </w:rPr>
        <w:t>开展数字经济国际合作，加强与“一带一路”沿线国家和地区以及其他国家在信息技术、人工智能、数字创意、工业软件等领域的联系交流，与知名企业、高等院校和高水平研究机构开展数智技术与产品联合研发、场景应用合作。</w:t>
      </w:r>
    </w:p>
    <w:p w14:paraId="210892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二十二、</w:t>
      </w:r>
      <w:r>
        <w:rPr>
          <w:rFonts w:hint="eastAsia" w:ascii="Times New Roman" w:hAnsi="Times New Roman" w:cs="仿宋_GB2312"/>
          <w:sz w:val="32"/>
          <w:szCs w:val="32"/>
        </w:rPr>
        <w:t>系统谋划数字经济人才队伍建设，根据数字经济产业发展实际需要，引育高层次、高技能和紧缺人才。完善人才政策，优化人才发展生态，构建科学的、有吸引力的人才保障和激励制度体系。</w:t>
      </w:r>
    </w:p>
    <w:p w14:paraId="0991282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鼓励高等院校、职业学校开设相关专业课程，加强与企业的合作，共建实训基地。</w:t>
      </w:r>
    </w:p>
    <w:p w14:paraId="24AF5E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二十三、</w:t>
      </w:r>
      <w:r>
        <w:rPr>
          <w:rFonts w:hint="eastAsia" w:ascii="Times New Roman" w:hAnsi="Times New Roman" w:cs="仿宋_GB2312"/>
          <w:sz w:val="32"/>
          <w:szCs w:val="32"/>
        </w:rPr>
        <w:t>丰富数字经济场景创新，支持在基层治理、社会民生、产业升级、科技服务等多领域创设数智技术应用开放空间。规范布局建设数字经济场景创新示范区，打造具有集成性、引领性的数字经济核心产业新场景。</w:t>
      </w:r>
    </w:p>
    <w:p w14:paraId="764B3A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二十四、</w:t>
      </w:r>
      <w:r>
        <w:rPr>
          <w:rFonts w:hint="eastAsia" w:ascii="Times New Roman" w:hAnsi="Times New Roman" w:cs="仿宋_GB2312"/>
          <w:sz w:val="32"/>
          <w:szCs w:val="32"/>
        </w:rPr>
        <w:t>建立健全数字经济多元化资金投入机制，创优营商环境，吸引社会资本。用好省内政府性产业引导基金，放大杠杆效应。鼓励金融机构创新产品和服务，支持扩大直接融资、间接融资。</w:t>
      </w:r>
    </w:p>
    <w:p w14:paraId="4B33FD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二十五、</w:t>
      </w:r>
      <w:r>
        <w:rPr>
          <w:rFonts w:hint="eastAsia" w:ascii="Times New Roman" w:hAnsi="Times New Roman" w:cs="仿宋_GB2312"/>
          <w:sz w:val="32"/>
          <w:szCs w:val="32"/>
        </w:rPr>
        <w:t>建立健全数字经济产业统计监测机制，加强统计调查和监测分析。探索建立产业数字化评价指标体系和数据生产要素统计核算制度。</w:t>
      </w:r>
    </w:p>
    <w:p w14:paraId="2348D3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二十六、</w:t>
      </w:r>
      <w:r>
        <w:rPr>
          <w:rFonts w:hint="eastAsia" w:ascii="Times New Roman" w:hAnsi="Times New Roman" w:cs="仿宋_GB2312"/>
          <w:sz w:val="32"/>
          <w:szCs w:val="32"/>
        </w:rPr>
        <w:t>对数字经济领域新技术、新产业、新业态、新模式实行包容审慎监管，并根据其性质、特点分类制定相应的监管规则和标准。</w:t>
      </w:r>
    </w:p>
    <w:p w14:paraId="64BB24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二十七、</w:t>
      </w:r>
      <w:r>
        <w:rPr>
          <w:rFonts w:hint="eastAsia" w:ascii="Times New Roman" w:hAnsi="Times New Roman" w:cs="仿宋_GB2312"/>
          <w:sz w:val="32"/>
          <w:szCs w:val="32"/>
        </w:rPr>
        <w:t>建立健全安全管理制度，构建风险评估、监测预警、应急响应体系，强化重要领域数据资源和重要网络、信息系统、硬件设备的安全保障。</w:t>
      </w:r>
    </w:p>
    <w:p w14:paraId="16879A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二十八、</w:t>
      </w:r>
      <w:r>
        <w:rPr>
          <w:rFonts w:hint="eastAsia" w:ascii="Times New Roman" w:hAnsi="Times New Roman" w:cs="仿宋_GB2312"/>
          <w:sz w:val="32"/>
          <w:szCs w:val="32"/>
        </w:rPr>
        <w:t>本决定自2025年10月1日起施行。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7E73C3B"/>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3306</Words>
  <Characters>3314</Characters>
  <Lines>87</Lines>
  <Paragraphs>24</Paragraphs>
  <TotalTime>3</TotalTime>
  <ScaleCrop>false</ScaleCrop>
  <LinksUpToDate>false</LinksUpToDate>
  <CharactersWithSpaces>3314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2025-09-23T02:48:36Z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