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武汉市水资源保护条例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 xml:space="preserve">日武汉市第十二届人民代表大会常务委员会第二十九次会议通过  </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日湖北省第十一届人民代表大会常务委员会第二十四次会议批准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楷体;楷体_GB2312" w:hAnsi="楷体;楷体_GB2312" w:eastAsia="楷体;楷体_GB2312" w:cs="楷体;楷体_GB2312" w:hint="eastAsia"/>
          <w:spacing w:val="-3"/>
          <w:sz w:val="32"/>
          <w:szCs w:val="32"/>
        </w:rPr>
      </w:pPr>
      <w:r>
        <w:rPr>
          <w:rFonts w:ascii="楷体;楷体_GB2312" w:hAnsi="楷体;楷体_GB2312" w:cs="楷体;楷体_GB2312" w:hint="eastAsia" w:eastAsia="楷体;楷体_GB2312"/>
          <w:spacing w:val="-3"/>
          <w:sz w:val="32"/>
          <w:szCs w:val="32"/>
        </w:rPr>
        <w:t>目    录</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第二章  水资源保护规划</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用水管理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第四章  水污染管理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第五章  饮用水安全管理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z w:val="30"/>
          <w:szCs w:val="30"/>
        </w:rPr>
        <w:t xml:space="preserve">    </w:t>
      </w:r>
      <w:r>
        <w:rPr>
          <w:rFonts w:ascii="楷体;楷体_GB2312" w:hAnsi="楷体;楷体_GB2312" w:cs="楷体;楷体_GB2312" w:hint="eastAsia" w:eastAsia="楷体;楷体_GB2312"/>
          <w:sz w:val="30"/>
          <w:szCs w:val="30"/>
        </w:rPr>
        <w:t>第六章  水生态保护与修复</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第七章  法律责任</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第八章  附则</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为了保护水资源，防治水污染，保障水安全，提高水资源利用效率和效益，改善水生态环境，根据《中华人民共和国水法》、《中华人民共和国水污染防治法》等法律、法规，结合本市实际，制定本条例。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本条例适用于本市行政区域内的水资源保护工作。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本条例所称水资源，是指地表水和地下水。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市、区人民政府应当严格水资源管理，建立水资源保护决策协调机制，落实用水总量控制、水域纳污总量控制和用水效率控制，按照有利于保护水资源、改善水生态系统、实现水资源可持续利用的原则，制定国民经济和社会发展规划，确定城市发展规模，调整产业结构和布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市、区水务主管部门按照规定的权限，负责本行政区域内水资源保护的管理和监督工作。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发展改革、环境保护、经济与信息化、规划、土地、城乡建设、城管、农业、林业、卫生等有关部门，应当按照各自职责，做好水资源保护的有关工作。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武汉东湖新技术开发区管理委员会、武汉经济技术开发区管理委员会、武汉市东湖生态旅游风景区管理委员会按照本条例关于区人民政府及水务主管部门管理职责的规定，负责其管理区域内的水资源保护工作。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任何单位和个人都有依法保护水资源、水工程和节约用水的义务。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对在水资源保护方面做出显著成绩的单位和个人，由市、区人民政府给予表彰和奖励。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水资源保护规划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本市水资源保护规划由市水务主管部门会同有关部门，根据本市城乡总体规划和长江、汉江等流域规划编制，报市人民政府批准后实施。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区水资源保护规划由区水务主管部门会同有关部门根据全市水资源保护规划编制，报区人民政府批准后实施，并报市水务主管部门备案。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编制水资源保护规划应当遵循保护优先、合理利用的原则，维持合理的水域面积、江河的合理流量和湖泊、水库的合理水位，维护水体的自然净化能力，防止对水生态环境造成破坏。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水资源保护规划应当包括水中长期供求规划、水功能区划以及易旱区、水资源污染严重区的范围等内容。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水资源保护规划一经批准，必须严格执行。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因上一层次水资源保护规划修改或者有法律、法规规定事由确需修改水资源保护规划的，应当报原审批机关批准；涉及水域范围、水质管理目标调整的，修改后的标准不得低于水域功能使用要求。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市发展改革、经济与信息化主管部门制定本市产业政策、投资项目指导目录时，应当综合考虑区域水资源条件和水污染防治要求，并征求市水务、环境保护主管部门的意见。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市、区人民政府在制定农业产业发展规划时，应当根据当地水资源条件，合理布局种植结构，推广节水栽培技术。在易旱区应当根据当地自然条件、经济发展水平，发展耐旱作物。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水务主管部门在审批涉水工程建设项目时，应当依法审查其是否符合水资源保护规划的要求。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在河道、湖泊等水域进行治理和开发利用活动，应当符合水资源保护规划的相关要求，科学安排水工程的建筑结构，合理使用建筑材料，保持水体自然形态和水体自然净化能力，维护水生态系统。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用水管理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市、区人民政府应当保障生活、生产用水，优先使用地表水，严格控制利用地下水，鼓励污水处理再利用。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水务主管部门应当建立和完善水工程调度制度，制定区域水工程调蓄计划、调度计划，报同级人民政府批准后执行。跨区的水工程调蓄计划、调度计划，由市水务主管部门会同有关区人民政府编制，报市人民政府批准后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有调蓄、调水任务的水工程的维护管理单位，应当按照有权调度的防汛抗旱指挥机构的指令进行蓄水放水，任何单位和个人不得干扰、拒绝执行或者任意改变调蓄计划、调度计划。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市、区人民政府应当加强洪水监测、预警体系建设，优化洪水调度，增加洪水的蓄泄空间，科学合理利用洪水资源。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市、区人民政府应当采取措施鼓励建设小型雨水集流和储水设施，提高水资源利用效率。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水务主管部门应当按照区域调节、以丰补欠的原则，加强易旱区雨水集流工程建设，提高易旱区水资源的利用效率。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直接从江河、湖泊、水库或者地下取用水资源的单位和个人，应当按照国务院《取水许可和水资源费征收管理条例》的规定，向水务主管部门申请领取取水许可证，缴纳水资源费，取得取水权。下列情形不需要申请领取取水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（一）农村集体经济组织及其成员因自身生产生活需要使用本集体经济组织的水塘、水库中的水的；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（二）家庭生活和零星散养、圈养畜禽饮用等年取用地表水水量在三千立方米以下、地下水水量在一千五百立方米以下的；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（三）为保障矿井等地下工程施工安全和生产安全必须进行临时应急取（排）水的；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（四）为消除对公共安全或者公共利益的危害临时应急取水的；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（五）为农业抗旱和维护生态与环境必须临时应急取水的。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水务主管部门应当统筹兼顾，科学制定区域取水总量控制指标，对本行政区域内的年度取水实行总量控制，并按照《取水许可和水资源费征收管理条例》规定的条件和程序核定取水单位和个人的取水量。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直接从江河、湖泊、水库或者地下取水并需要申请取水许可证的新建、改建、扩建的建设项目，建设单位应当委托具有相应资质的单位编制建设项目水资源论证报告书，进行水资源论证。论证通过的，方可办理取水申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水务主管部门应当建立水权交易制度，推进水权交易市场建设，鼓励获得取水权的单位或者个人依法进行水权交易。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取水单位或者个人取水量不得高于核定的取水量。取水单位或者个人取水量高于核定取水量的，水务主管部门应当责令其限期进行节水改造并对超过核定的取水量累进征收水资源费；拒不改造或者改造后仍不能达到标准的，除对其超过核定的取水量累进征收水资源费外，可以核减其取水量；连续二次在规定期限内拒不改造或者改造后仍不能达到标准的，除对超过核定的取水量累进征收水资源费外，可以责令其停止取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工业取用水单位应当采用先进技术、工艺和设备，增加循环用水次数，积极推进水资源循环利用和工业废水处理回用。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市水务主管部门应当会同市经济与信息化等主管部门按照规定向社会公布节水型设备、产品名录，引导取用水单位使用和采取先进技术、工艺和设备。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市、区人民政府应当采取措施扶持节水灌溉企业和其他组织，推广农业节水灌溉技术和节水灌溉设备的应用，推进灌区节水改造，发展节水灌溉产业，提高水的利用效率。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市水务主管部门应当根据本市地下水的分布、开发利用情况以及地质环境条件，划定本市行政区域内地下水的禁止开采区、限制开采区，报省人民政府批准后向社会公布。在地下水禁止开采区和限制开采区内，不得新建地下水取水工程。禁止开采区内已有的取水工程，应当限期封闭；限制开采区内已有的取水工程，应当逐年削减取水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在地下水禁止开采区以外的地区有下列情形之一的，禁止取用地下水：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（一）城市公共供水管网能够满足用水需要的；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（二）地下水已受到严重污染的；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（三）可能对水功能区水域使用功能造成重大损害的；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（四）取水、退水布局不合理的；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（五）地质水文状况不适宜取用地下水的；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（六）法律、法规规定禁止取用地下水的其他情形。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建设项目需要疏干排水或者施工降水的，建设单位应当到水务主管部门办理取水许可手续，缴纳水资源费。政府投资的公益性建设项目需要疏干排水或者施工降水的，免征水资源费。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水务主管部门应当加强对建设项目疏干排水或者施工降水的指导服务和监督管理，指导建设单位科学利用地下水，避免浪费和污染水源，防止水源枯竭或者地面塌陷。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因疏干排水、施工降水影响他人生活或者生产，造成损失的，建设单位应当依法予以补偿。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鼓励采取科学、经济、安全的处理方法进行再生水回用。再生水经有资质的单位检测合格的，方可使用。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再生水可用于绿化、景观、道路清洗等，不得用于饮用、养殖、灌溉食用作物。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水污染管理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市水务主管部门应当会同市环境保护主管部门以及其他有关部门，根据水资源保护规划、流域综合规划和经济社会发展要求，按照管辖权限拟订本市行政区域内江河、湖泊、水库和人工水道等水域水功能区划，经市人民政府批准后实施。经批准的水功能区划应当向社会公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水功能区划一经批准，不得擅自调整；确需调整的，应当按照规定程序报原审批机关批准。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水务主管部门应当在水功能区边界设立明显标志，明确水质保护目标。任何单位和个人不得破坏、擅自移动水功能区标志。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水务主管部门依法实施取水许可、排污口设置许可以及江河、湖泊、水库和人工水道管理范围内建设项目许可等行政许可事项，应当符合水功能区划的要求。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从事涉水工程建设以及利用江河、湖泊、水库和人工水道从事养殖、旅游、水上运动、水上运输等活动的，不得影响本水功能区以及相邻水功能区的水域使用功能，不得降低水功能区水质。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禁止在江河、湖泊、水库和人工水道水域范围内新建对水体有污染的餐饮等经营场所。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区人民政府对在辖区内江河、湖泊、水库和人工水道水域范围内建设的对水体有污染的餐饮等经营场所，应当责令关闭或者搬迁。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水务主管部门应当按照水功能区对水质的要求和水体的自然净化能力，核定该水域的纳污能力，并向同级环境保护主管部门提出限制排污总量意见。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保护主管部门应当根据限制排污总量意见，制定排污量削减计划下达到排污单位，并负责检查计划落实情况，监督排污单位达标排放。发现水域污染物排放总量超过该水域纳污能力或者水功能区水质不达标时，环境保护主管部门应当暂停审批新增水污染物排放总量的建设项目的环境影响评价文件、不得发放新的排污许可证，并应当限期削减污染物排放总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农业、林业等主管部门应当指导农业生产者改进种植和养殖技术，科学合理使用农药、化肥、饲料等农业投入品，推进农村生活污水、人畜粪便、农作物秸秆的综合治理和利用，逐步实现农村垃圾的集中处置，减少农村水体污染，改善农村生态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在江河、湖泊、水库和人工水道新建、改建、扩大排污口（含畜禽养殖场、农贸市场和农副产品加工等单位产生的废污水直接排入江河、湖泊、水库和人工水道）的，应当按照有关标准进行排污口设置论证，论证通过的，依法办理排污口设置许可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水务主管部门是本市入河排污口设置的主管部门，负责对排污口的日常监督检查。入河排污口，是指直接或者通过沟、渠、管道等设施向江河、湖泊、渠道、水库等水域排放污水的排污口。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环境保护主管部门应当加强对向水体排放污染物的监督检查；被检查单位应当如实提供有关文件、证照和资料。</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第三十一条  </w:t>
      </w:r>
      <w:r>
        <w:rPr>
          <w:rFonts w:ascii="仿宋_GB2312" w:hAnsi="仿宋_GB2312" w:cs="仿宋_GB2312" w:hint="eastAsia" w:eastAsia="仿宋_GB2312"/>
          <w:spacing w:val="-3"/>
          <w:sz w:val="32"/>
          <w:szCs w:val="32"/>
        </w:rPr>
        <w:t>水务主管部门应当加强对地下水抽灌和地下水水质的监测管理，开展地下水水质、水位的动态监测，逐步实行实时在线监测，防止地下水枯竭和水质污染。生活垃圾填埋场及危险废物填埋场应有相应的防渗措施和渗出液处理措施；禁止向渗井、渗坑、废井、裂隙和溶洞内排放、倾倒有毒、有害废水和含病原体的污水、污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水务主管部门应当会同环境保护等主管部门加快组织城乡污水收集系统、污水集中处理设施建设，逐步将污水引入污水集中处理设施。城市建设在新建供水设施的同时，应当同步规划建设相应的污水收集系统、污水集中处理设施。污水收集率、处理率应当与经济社会发展相适应。</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污水集中处理收集管网已经覆盖的地区，水务主管部门应当责令排污口设置单位限期关闭原通向自然水体的排污口。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在污水集中处理收集管网尚未覆盖的地区，对单位和个人投资自建生活污水处理设施产生的运行费用，应当予以补贴，具体办法由市人民政府另行制定。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饮用水安全管理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环境保护主管部门应当会同水务、规划、土地、城乡建设等主管部门依法划定饮用水水源保护区和饮用水水源准保护区，按照规定程序报省人民政府批准，并在饮用水水源保护区的边界设立明确的地理界标和明显的警示标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禁止在饮用水水源保护区内设置排污口。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水务主管部门应当会同环境保护主管部门制定饮用水水源保护区内现有排污口的整治方案，限期关闭饮用水水源保护区内的所有排污口；整治方案报同级人民政府批准后组织实施。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市、区人民政府应当加快城乡饮水工程建设，推进城乡供水统一管理，保障城乡居民饮用水水质和水量。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水务、环境保护主管部门应当根据职责，按照有关标准，对饮用水水源保护区水质进行监测，每年定期向社会公布监测结果。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新建、改建、扩建的集中式饮用水工程取水口应当设置在饮用水水源保护区范围内。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已设置的集中式饮用水工程取水口因河床发生变化影响取水或者水质长期未能达标的，水务主管部门应当责令设置单位调整取水口。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市、区人民政府应当加强应急备用水源的规划和建设，组织有关部门制定饮用水水源安全保障应急预案。当饮用水水源水质达不到规定标准或者供水水量严重不足时，应当及时启动饮用水水源安全保障应急预案。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集中式饮用水工程应当配套建设应急备用水源取水设施。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市、区人民政府应当加强农村水源工程建设，加大农村饮用水基础设施建设的投入，鼓励和扶持农村集体经济组织和农民兴建蓄水、保水工程，对农村不符合饮用水要求的饮用水水源地进行整治，保障农村饮用水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农村安全饮水工程维护管理单位应当按照有关技术规范，加强工程的维护管理，确保安全运行。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卫生、水务等主管部门应当根据职责，按照生活饮用水卫生标准，对农村安全饮水工程的源水、出厂水和管网末梢水等定期进行水质检测，确保供水水质符合国家规定的饮用水标准。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水生态保护与修复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市、区人民政府应当按照因地制宜、统筹规划、城乡一体的原则，通过采取水资源合理配置、水环境治理、水生态系统修复等措施，改善水生态系统，逐步实现水功能区的保护目标和水生态系统的良性循环。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河流生态修复应当综合采用科学、安全的工程措施、生物措施和管理措施，改善河流水质并调节水量，修复河流水生态系统。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市、区人民政府应当按照湖泊整治规划，通过截污、清淤、岸线整治、绿化、水生态修复、生态调水、湖泊规划控制范围内养殖业结构调整等方式，实施湖泊保护和水环境治理。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市、区人民政府应当统筹安排，设立湖泊整治专项资金用于湖泊整治工作，并建立稳定的专项资金增长机制。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市、区人民政府应当加强港渠综合整治，通过生态清淤、生态补水、水土保持、生态护岸建设等，形成滨渠绿化带，提高港渠排水能力和改善生态环境。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港渠配套建筑物应当与周边环境相协调，形成水生态景观。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城乡建设不得填堵具有调蓄、灌溉功能的塘堰、洼地、沟汊；确需填堵的，建设单位应当采取工程或者非工程等量等效替代措施，经水务主管部门审查同意后报同级人民政府批准。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禁止在江河、湖泊、水库、渠道最高水位线以下的滩地和岸坡堆放、存贮固体废弃物、其他污染物以及破坏植被。</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市、区人民政府应当大力推广水生态修复新技术、新工艺，培育和发展水生态修复和水环境治理产业。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市、区人民政府应当对已建成的水生态修复工程建立日常维护管理长效机制，确定责任单位，落实工作经费，加强日常维护管理。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跨区的水生态修复工程由市水务主管部门协调相关责任单位划定日常维护管理区域。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市、区人民政府应当加强水资源监测系统建设，逐步完善水资源保护监测评估体系。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水务主管部门应当会同环境保护主管部门开展水资源监测评估工作，并定期统筹发布本地区上一年度水资源水质水量、开发利用等信息。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法律责任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本市建立水资源保护问责制。对不制定水资源保护规划，不实施水资源保护整治计划或者涉水工程严重影响水生态的，有关主管部门应当督促改正；责任单位在规定期限内不整改或者整改不符合要求的，由监察部门对直接负责的主管人员和其他直接责任人员依法给予行政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水务、环境保护、规划、土地、城乡建设等有关行政主管部门及其工作人员有下列行为之一的，对负有责任的主管人员和其他直接责任人员，由其所在单位或者上级机关给予行政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（一）对不符合条件的单位和个人核发取水许可证、签署审查同意意见的；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（二）违反规定下达取水计划、擅自减免水资源费的；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（三）不履行职责，或者发现违法行为不及时查处，造成严重后果的。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违反本条例规定，破坏、擅自移动水功能区标志的，由水务主管部门责令停止违法行为，按照损毁程度责令赔偿，处五百元以上二千元以下的罚款。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违反本条例规定，在水功能区从事不符合水功能区划要求的开发利用活动，对水域使用功能造成严重影响的，由水务主管部门责令停止违法行为，限期采取补救措施，并可处以五万元以上十万元以下的罚款。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违反本条例规定，未经批准擅自取水或者未按照批准的条件取水的，由水务主管部门责令停止违法行为，限期采取补救措施，并可处以二万元以上十万元以下的罚款；未按照批准的条件取水情节严重的，吊销其取水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在饮用水水源保护区内设置排污口的，由区人民政府责令限期拆除，处以十万元以上五十万元以下的罚款；逾期不拆除的，强制拆除，所需费用由违法者承担，处以五十万元以上一百万元以下的罚款，并可以责令停产整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规定，未经水务主管部门批准，擅自在江河、湖泊、水库、人工水道新建、改建、扩大排污口的，由水务主管部门责令限期拆除，处以二万元以上十万元以下的罚款；逾期不拆除的，强制拆除，所需费用由违法者承担，处以十万元以上五十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违反本条例规定，有下列行为之一的，由水务主管部门责令限期改正，并可处以一万元以上五万元以下的罚款；拒不改正的，由水务主管部门代为执行，所需费用由违法者承担：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（一）拒绝执行或者任意改变调蓄计划、调度计划的；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（二）污水已经通过管网引入污水集中处理设施的地区，排污口设置单位未在规定限期内关闭原通向自然水体的排污口的；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（三）擅自填堵具有调蓄、灌溉功能的塘堰、洼地、沟汊的。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违反本条例规定，在江河、湖泊、水库、渠道最高水位线以下的滩地和岸坡堆放、存贮固体废弃物、其他污染物的，由环境保护主管部门责令停止违法行为，限期消除污染，处以二万元以上二十万元以下的罚款。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违反本条例规定，在江河、湖泊、水库、渠道最高水位线以下的滩地和岸坡破坏植被的，由水务主管部门责令停止违法行为，限期恢复原状；逾期不改正的，由水务主管部门代为治理，所需费用由违法者承担。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水务、环境保护等主管部门应当加强监督检查，对违反本条例的行为依法进行查处。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水务、环境保护等主管部门应当按照各自职责建立执法巡查制度和执法通报制度，在执法管理中发现涉及其他部门执法管辖范围的违法行为时，应当及时通报有关部门，有关部门应当及时进行查处。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第八章　附　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2019-09-01T09:49:20Z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