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湖北省林业管理办法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8</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w:t>
      </w:r>
      <w:r>
        <w:rPr>
          <w:rFonts w:ascii="楷体_GB2312" w:hAnsi="楷体_GB2312" w:cs="楷体_GB2312" w:hint="eastAsia" w:eastAsia="楷体_GB2312"/>
          <w:spacing w:val="-3"/>
          <w:sz w:val="32"/>
          <w:szCs w:val="32"/>
        </w:rPr>
        <w:t>日湖北省第七届人民代表大会常务委员会第二十一次会议通过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日湖北省第十一届人民代表大会常务委员会第十七次会议《关于集中修改、废止部分省本级地方性法规的决定》第一次修正　根据</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日湖北省第十二届人民代表大会常务委员会第十一次会议《关于集中修改、废止部分省本级地方性法规的决定》第二次修正  根据</w:t>
      </w:r>
      <w:r>
        <w:rPr>
          <w:rFonts w:eastAsia="楷体_GB2312" w:cs="楷体_GB2312" w:hint="eastAsia" w:ascii="楷体_GB2312" w:hAnsi="楷体_GB2312"/>
          <w:spacing w:val="-3"/>
          <w:sz w:val="32"/>
          <w:szCs w:val="32"/>
        </w:rPr>
        <w:t>2017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日湖北省第十二届人民代表大会常务委员会第三十一次会议《关于集中修改、废止部分省本级地方性法规的决定》第三次修正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日湖北省第十三届人民代表大会常务委员会第十六次会议《关于集中修改、废止涉及取消证明事项的部分省本级地方性法规的决定》第四次修正）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林地、林权管理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森林经营管理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森林保护</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第五章　植树造林</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第六章　森林采伐管理</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第七章　奖励与处罚</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加强林业管理，保护、培育和合理利用森林资源，充分发挥森林效益，根据《中华人民共和国森林法》（以下简称《森林法》）和《中华人民共和国森林法实施条例》（以下简称《实施条例》）的规定，结合我省实际，制定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在本省境内从事森林资源的保护、培育、采伐利用、经营管理以及其他影响森林生态环境的活动，必须遵守《森林法》、《实施条例》和本办法。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各级人民政府应采取以下措施发展林业：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（一）稳定、完善林业生产责任制和木材经营管理体制；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（二）组织全社会兴办林业和开展全民义务植树；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（三）在财政预算中适当安排造林绿化专项经费，根据国家的有关规定，制定林业基金的具体管理办法；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（四）组织、督促有关部门，安排造林绿化资金，专门用于建设用材林、原料林基地和营造防护林、风景林、特种用途林；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（五）对森林资源采伐消耗实行全额管理，推行木材综合利用、节约代用和改能、改灶节材措施；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（六）组织制定林业科技与教育发展规划，实行科技兴林。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县级以上人民政府的林业主管部门和乡镇人民政府，负责本行政区域内的林业工作。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第二章　林地、林权管理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县级以上人民政府依照《森林法》的规定，确认林地和森林、林木的所有权与使用权。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在全民所有的土地上义务栽植的林木，所有权属管理使用该土地的单位；土地未明确管理使用单位的，林木由当地人民政府指定的部门或单位所有。在集体所有的土地上义务栽植的林木，所有权属于集体。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国家机关、团体、部队、国营企业事业单位营造的林木，由营造单位经营并按照国家规定支配林木收益。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合作种植的林木，所有权属合作者共有。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农村居民在房前屋后、自留地、自留山种植的林木，城镇居民和职工在自有房屋的庭院内种植的林木，归个人所有。个人承包宜林荒山荒地，其承包后种植的林木归个人所有；承包合同另有规定的，按合同规定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个人所有的林木，可以依法继承、转让和抵押。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林地和森林、林木权属发生争议的，由当事人协商解决，协商不成的，按国家法律、法规的规定处理。跨市（州）、县（市）的，由上一级人民政府或其指定的机关处理。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征用和占用林地，必须依法办理审批手续，同时遵守以下规定：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（一）国营林场、自然保护区、风景名胜区、国防林、防护林、公路园林、森林公园、国营林木种子园和科研教学用的林地，因特殊情况需要征用、占用的，应当商得原批准设立该类林地的机关同意；</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（二）伐除所征用或占用林地上的林木，征用或占用林地的单位必须凭批准征地的文件、伐除林木申请书和林木补偿协议书，依照本办法的有关规定办理林木采伐许可证。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征用或占用林地的土地补偿费和安置补助费的支付，按《湖北省土地管理实施办法》规定的标准执行。被征用或占用林地上的林木、苗木损失，除将伐除的林木和清除的苗木交所有者或使用者处理外，还应按下列标准补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（一）伐除人工幼林，补偿全部造林投资及培育费；伐除人工中龄林，按主伐期出材量实际价值（按市场价格计算，下同）的</w:t>
      </w:r>
      <w:r>
        <w:rPr>
          <w:rFonts w:eastAsia="仿宋_GB2312" w:cs="仿宋_GB2312" w:hint="eastAsia" w:ascii="仿宋_GB2312" w:hAnsi="仿宋_GB2312"/>
          <w:spacing w:val="-3"/>
          <w:sz w:val="32"/>
          <w:szCs w:val="32"/>
        </w:rPr>
        <w:t>70</w:t>
      </w:r>
      <w:r>
        <w:rPr>
          <w:rFonts w:ascii="仿宋_GB2312" w:hAnsi="仿宋_GB2312" w:cs="仿宋_GB2312" w:hint="eastAsia" w:eastAsia="仿宋_GB2312"/>
          <w:spacing w:val="-3"/>
          <w:sz w:val="32"/>
          <w:szCs w:val="32"/>
        </w:rPr>
        <w:t>％补偿；伐除人工成熟林，按出材量实际价值的</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％补偿；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（二）伐除天然林的，比照前项规定的标准补偿；伐除防护林、特种用途林、经济林的，可高于伐除人工林的补偿标准，但最多不得超过二倍；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（三）清除苗圃上的苗木，按苗木出圃时的产值补偿；</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（四）不须伐除的林木、不须清除的苗木划归征地或占地单位所有的，除分别按前三项规定的标准补偿外，还应按林木的实际价值作价付款。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森林经营管理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各级林业主管部门应当根据本级人民政府制定的林业发展长远规划，制定本地林业发展近期规划和指导编制森林经营方案，报本级人民政府批准后实施。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森林经营单位应按照以林为主、多种经营、综合利用和以短养长的经营方针，加强森林资源培育，发展速生丰产用材林和经济林，充分利用森林资源，发展多种产业和林产品的深度加工。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各级人民政府和有关主管部门，应当严格执行国家扶持林业发展的优惠政策，积极扶持国营和集体林场的发展。对宜林荒山、荒地，鼓励国营、集体单位和个人采取多种形式兴办林场。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新建、扩建、改建国家发展改革部门和林业主管部门规定管理范围内的以森林资源为原（燃）材料的林产工业品加工企业，须报经林业主管部门进行森林资源论证和审查同意。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森林保护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各级人民政府应当依法建立健全护林组织和护林联防组织；国营林场与毗邻的乡村，也应建立护林联防组织。</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村民委员会、国营林场、集体林场以及其他森林经营单位，应当根据实际需要配备专职或兼职护林员。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护林组织和护林员协助林业主管部门做好下列工作：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（一）宣传有关森林保护的政策、法律、法规和护林公约；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（二）巡护森林，制止和协助查处盗伐、滥伐森林及其他破坏森林资源的行为；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（三）监督限额采伐；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（四）监督落实森林防火规章制度，制止违反森林防火规定的行为，报告森林火警火情；</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（五）报告森林病虫害发生及危害情况。</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各级人民政府及其林业主管部门和司法机关应当加强配合，按照职责范围，做好防止发生和查处盗伐、滥伐森林案件的工作；发生聚众哄砍森林案件时，应当及时采取有效措施予以制止，并依法查处。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各级人民政府和林业主管部门应加强森林防火工作，每年的十一月一日至次年四月三十日为全省森林防火期。县级人民政府可根据本地自然条件，决定提前进入或延长本行政区域内的森林防火期。在森林防火期间，应严格按照《森林法》和《森林防火条例》的规定，加强对林区野外用火的管理。发生森林火灾时，当地人民政府应当立即组织有关部门和当地军民，采取措施，全力扑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各级林业主管部门负责组织森林病虫害防治和森林植物检疫工作。发生属于国家和省规定的森林检疫病虫害或大面积森林疫情的地区，应划为疫区，及时除治；对其中未发生疫情的局部地区，应划为保护区，防止病虫侵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典型森林生态和珍稀野生动物植物集中生长繁殖的地区，应当按国家有关规定划为自然保护区。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对非自然保护区的珍稀野生动物植物和有特殊保护价值的树木以及林木良种资源，应采取必要的保护性措施。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植树造林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各级人民政府在制定造林绿化规划时，应根据本地区的自然条件和国家有关规定，确定本地区森林覆盖率的奋斗目标，并规定宜林荒山荒地的造林绿化期限。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县级人民政府对每年造林绿化任务的完成情况应当按照国家规定逐年组织检查验收，核实造林面积。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适龄公民，除老、弱、病、残者外，应按照国家规定履行植树义务。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各级林业主管部门、有关部门和单位以及集体经济组织，应当在宜林荒山荒地和其他宜林地区，组织植树造林。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个人承包的宜林荒山荒地，应按合同规定的期限植树造林。期限届满未造林绿化的，按合同规定处理，并由发包方收回荒山荒地，负责造林。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城市建设和公路、铁路、水利、工厂、矿山等各项新建、扩建、改建工程，应把造林绿化纳入工程建设规划，统一实施。</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鼓励机关、团体、企业事业单位以及城乡居民发展庭院林业经济和开展庭院绿化活动。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各级林业主管部门，应当组织有条件的森林经营单位建立林木良种基地，引进、选育和推广优良品种，并加强对植树造林的技术指导。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对具备天然更新条件的森林采伐迹地、火烧迹地、疏林地和新造幼林地、飞播造林地，以及江河湖泊沿岸坡地、水库库区和其他水土流失严重的地方，当地人民政府应实行封山育林。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对不宜耕种的陡坡地，当地人民政府应当根据本地实际情况，鼓励集体经济组织和农民种植林木，逐步退耕还林。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森林采伐管理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实行森林限额采伐制度。凡采伐胸高直径五厘米以上林木所消耗的立木蓄积，均纳入年森林采伐限额。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省林业主管部门根据消耗量低于生长量和森林分类经营管理的原则，编制本行政区域的年森林采伐限额，经征求国务院林业主管部门意见，报本级人民政府批准后公布实施，并报国务院备案。</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年森林采伐限额由各级人民政府分解下达，实行分级控制、分项管理。各项采伐限额指标，不得互相挪用。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采伐林木，依法实行林木采伐许可证制度；采伐自然保护区以外的竹林，以及农村居民采伐自留地和房前屋后个人所有的零星林木除外。</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林木采伐许可证由省林业主管部门统一印制，按《森林法》和《实施条例》的规定核发和管理。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采伐林木的单位和个人，必须按照林木采伐许可证的规定作业，并完成更新造林任务。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采伐林木，必须遵守《森林法》、《实施条例》和以下规定：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（一）国家和省规定保护的天然起源林和珍稀林木，严禁采伐；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（二）坡度为四十五度以上坡地的林木，严格控制皆伐；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（三）皆伐林木可能影响区域环境的，必须向有关部门提交环境影响报告书。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木材经营加工企业应当建立原料和产品出入库台账。任何单位和个人不得收购、加工、运输明知是盗伐、滥伐等非法来源的林木。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奖励与处罚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保护森林、发展林业有下列事迹之一的单位和个人，由各级人民政府或林业主管部门给予表彰和奖励：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（一）执行林业法律、法规和政策，在森林管理中表现突出的；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（二）完成造林绿化任务，成绩显著的；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（三）保护森林资源有功的；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（四）开展林业科研、普及林业科技知识、推广林业先进技术和发展林业教育，有突出贡献的。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违反本办法的行为，按照国家有关法律、法规的规定处理。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本办法规定的林业行政处罚，由县以上林业主管部门或其授权的单位决定并执行。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当事人对行政处罚决定不服的，可以依法申请行政复议，也可以直接向人民法院起诉。期满不申请复议或者不起诉又不履行的，作出处罚决定的机关可以申请人民法院强制执行。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631"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本办法自公布之日起施行。省内有关规定与本办法相抵触的，按本办法执行。</w:t>
      </w:r>
    </w:p>
    <w:p>
      <w:pPr>
        <w:pStyle w:val="Normal"/>
        <w:spacing w:lineRule="exact" w:line="589"/>
        <w:ind w:firstLine="631"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7"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2020-06-17T15:59:00Z</cp:lastPrinted>
  <dcterms:modified xsi:type="dcterms:W3CDTF">2020-07-02T16:35:07Z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