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湖北省邮政条例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日湖北省第十二届人民代表大会常务委员会第九次会议通过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日湖北省第十三届人民代表大会常务委员会第二十五次会议《关于集中修改、废止涉及优化营商环境省本级地方性法规的决定》第二次修正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日湖北省第十三届人民代表大会常务委员会第三十一次会议《关于集中修改涉及公共卫生体系建设省本级地方性法规的决定》第三次修正）</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邮政普遍服务和特殊服务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快递业务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安全保障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第一章　总则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第一条</w:t>
      </w:r>
      <w:r>
        <w:rPr>
          <w:rFonts w:ascii="仿宋_GB2312;仿宋" w:hAnsi="仿宋_GB2312;仿宋" w:cs="仿宋_GB2312;仿宋" w:hint="eastAsia" w:eastAsia="仿宋_GB2312;仿宋"/>
          <w:spacing w:val="-3"/>
          <w:sz w:val="32"/>
          <w:szCs w:val="32"/>
        </w:rPr>
        <w:t>　为了保障邮政普遍服务，规范和促进快递服务发展，维护邮政通信与信息安全，保护通信自由、通信秘密和用户合法权益，加强对邮政市场的监督管理，根据《中华人民共和国邮政法》和有关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本省行政区域内邮政业规划、建设、服务和监督管理活动，适用本条例。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省邮政管理部门负责全省邮政普遍服务和邮政市场的监督管理工作。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市（州）邮政管理部门负责本辖区邮政普遍服务和邮政市场的监督管理工作。直管市、神农架林区的邮政普遍服务和邮政市场的监督管理工作，由省邮政管理部门负责。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县级以上人民政府有关部门依照各自职责，共同做好邮政管理相关工作。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邮政普遍服务是国家保障的重要公益性服务。各级人民政府及有关部门应当对邮政普遍服务和特殊服务给予财政扶持和政策优惠，重点扶持农村和交通不便地区的邮政普遍服务和特殊服务。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快递服务是现代服务业的重要组成部分。各级人民政府应当制定和完善相关政策和措施，鼓励、促进和规范快递服务发展。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邮政企业、快递企业应当加强服务质量管理，提高服务水平，为用户提供迅速、准确、安全、方便的服务。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邮政管理部门、公安机关、国家安全机关和海关应当相互配合，建立健全安全保障机制，加强对邮政通信和信息安全的监督管理，确保邮政通信与信息安全。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邮政企业、快递企业应当遵守国家有关安全管理规定，完善安全保障制度和措施，保障寄递安全，并为相关部门依法履行职责提供便利。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第二章　规划与建设</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第六条</w:t>
      </w:r>
      <w:r>
        <w:rPr>
          <w:rFonts w:ascii="仿宋_GB2312;仿宋" w:hAnsi="仿宋_GB2312;仿宋" w:cs="仿宋_GB2312;仿宋" w:hint="eastAsia" w:eastAsia="仿宋_GB2312;仿宋"/>
          <w:spacing w:val="-3"/>
          <w:sz w:val="32"/>
          <w:szCs w:val="32"/>
        </w:rPr>
        <w:t>　县级以上人民政府应当将邮政业发展纳入国民经济和社会发展规划，按照统筹安排、合理布局的原则，将邮政、快递基础设施的布局和建设纳入土地利用总体规划、城乡规划、综合交通运输体系规划，保障邮政业与当地经济社会协调发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管理部门应当根据邮政业发展规划和邮政普遍服务标准，会同发展改革、城乡规划、自然资源等部门编制包括邮政营业场所、邮件处理场所等在内的邮政设施专项规划，经本级人民政府批准后依法纳入相应的城乡规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城乡规划主管部门编制控制性详细规划，应当按照邮政设施专项规划的要求，对邮政营业场所和邮件处理场所进行规划控制。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建设城市新区、独立工矿区、开发区、商贸区、城镇住宅区或者对旧城区进行改造，应当同时规划和建设配套的邮政设施。城市建成区已有的邮政设施不能满足邮政普遍服务要求的，应当改建、扩建或者重建。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城乡规划主管部门在组织审查修建性详细规划时，对未按照规划要求设置邮政普遍服务设施的，应当要求建设单位改正。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邮政企业应当按照城乡规划、邮政普遍服务标准设置邮政营业场所、邮政报刊亭、邮筒（箱）等邮政设施。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提供邮政普遍服务的邮政设施用地由县级以上人民政府按照城市基础设施用地和公益事业用地依法划拨，免征城市基础设施配套费和其他费用。邮政报刊亭、邮筒（箱）和其他邮政服务设施免缴城市道路占用费。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建设单位配套建设的邮政普遍服务场所，属于设置面积标准范围内的，供应价格标准由建设主管部门会同自然资源、房屋行政管理、邮政管理部门按照支持和保障邮政普遍服务的原则制定，具体供应价格由邮政企业与建设单位协商确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依法取得的划拨土地和依照前款规定配套建设的邮政普遍服务场所，不得擅自转让或者改变用途。</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较大的车站、机场、港口、宾馆、高等院校、社区、商贸区、旅游区等公共场所应当设置邮政普遍服务的场所，并根据需要设置快递服务营业场所或者自助快递服务设施，其管理单位应当为邮政企业、快递企业在收寄、装卸、转运、投递邮件、快件等方面提供便利，并在场地租用方面提供优惠。</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机关、企事业单位和城镇住宅区、商用写字楼的产权人或者物业管理单位，应当在适当位置设置接收邮件的场所，提供接收快件的场地或者服务设施。因故未设置邮件接收场所、未提供接收快件的场地或者服务设施的，应当允许统一着装并佩戴标识的邮政企业、快递企业从业人员和车辆进入为用户提供服务，不得收取费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新建、改建、扩建城镇居民楼、住宅区的建设单位应当按照国家规定的标准设置信报箱，并与建设项目主体工程同步规划、设计、施工和验收，所需费用纳入建设项目总预算。对未设置信报箱或者设置的信报箱不符合标准的建设项目，不予办理竣工验收手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已建成使用的城镇旧居民楼和住宅区未配置信报箱或者配置的信报箱不符合国家标准的，所在地人民政府应当依法根据实际安排资金补建或者改造。</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信报箱的维修和更换，保修期内由建设单位负责。超过保修期的，纳入住宅共用设施设备进行维修和更换，所需费用依法从住宅专项维修资金中支付；没有住宅专项维修资金的，由信报箱所有人负责维修和更换。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农村地区提供邮政普遍服务的邮政设施建设应当纳入当地镇、乡和村庄规划。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县级以上人民政府应当统筹村级公共资源，扶持农村地区邮政设施建设，将村邮站与农村公共服务平台相结合，明确村邮站建设以及运营的责任主体，经费纳入农村公益服务范畴，由各级财政合理负担。</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邮政企业应当对村邮站提供业务支持和指导，并与村邮站签订邮件接收、转投协议。邮政企业委托村邮站代办邮政普遍服务和特殊服务以外业务的，应当与村邮站签订协议，支付代办费。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因公共利益需要依法征收邮政营业场所或者邮件处理场所的，房屋征收部门应当事先与邮政企业协商。根据控制性详细规划和邮政普遍服务标准需要继续在原区域设置上述场所的，应当按照方便用邮、不少于原有面积的原则重新设置，所需费用由作出房屋征收决定的人民政府承担。</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重建的邮政营业场所、邮件处理场所在交付使用前，房屋征收部门应当安排过渡场所。房屋征收部门未作出妥善安排前，不得征收。邮政企业应当采取相应措施，保证过渡期间邮政普遍服务正常进行。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第三章　邮政普遍服务和特殊服务</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第十四条</w:t>
      </w:r>
      <w:r>
        <w:rPr>
          <w:rFonts w:ascii="仿宋_GB2312;仿宋" w:hAnsi="仿宋_GB2312;仿宋" w:cs="仿宋_GB2312;仿宋" w:hint="eastAsia" w:eastAsia="仿宋_GB2312;仿宋"/>
          <w:spacing w:val="-3"/>
          <w:sz w:val="32"/>
          <w:szCs w:val="32"/>
        </w:rPr>
        <w:t>　省邮政管理部门应当根据国家标准和本省经济社会发展需要，制定本省邮政服务规范。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邮政企业应当按照国家规定的业务范围、服务标准</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以合理的资费标准，为用户持续提供邮政普遍服务，提高邮政普遍服务水平。</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邮政企业应当对信件、单件重量不超过五千克的印刷品、单件重量不超过十千克的包裹的寄递以及邮政汇兑提供邮政普遍服务。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邮政企业按照国家规定办理机要通信、国家规定报刊的发行，以及义务兵平常信函、盲人读物和革命烈士遗物的免费寄递等特殊服务业务。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邮政企业应当在其营业场所按照国家规定开办所有种类的邮政普遍服务业务，公布其服务种类、营业时间、资费标准、邮件和汇款的查询及损失赔偿办法、禁止或者限制寄递的物品范围、邮件封装用品价格以及对其服务质量的投诉办法，并提供邮政编码查询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邮政企业应当在邮筒（箱）上标明开筒（箱）的频次和时间，按时开取。</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邮政企业对用户交寄的邮件，应当按照规定的服务标准，及时、准确、安全投递。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本省同一城市市区内互寄的信件，应当在</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日内完成投递；本省市州人民政府所在地城市间互寄的信件，应当在</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日内完成投递；本省同一市州的市县间互寄的信件，应当在</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日内完成投递；本省不同市州的市县间互寄的信件，应当在</w:t>
      </w:r>
      <w:r>
        <w:rPr>
          <w:rFonts w:eastAsia="仿宋_GB2312;仿宋" w:cs="仿宋_GB2312;仿宋" w:hint="eastAsia" w:ascii="仿宋_GB2312;仿宋" w:hAnsi="仿宋_GB2312;仿宋"/>
          <w:spacing w:val="-3"/>
          <w:sz w:val="32"/>
          <w:szCs w:val="32"/>
        </w:rPr>
        <w:t>7</w:t>
      </w:r>
      <w:r>
        <w:rPr>
          <w:rFonts w:ascii="仿宋_GB2312;仿宋" w:hAnsi="仿宋_GB2312;仿宋" w:cs="仿宋_GB2312;仿宋" w:hint="eastAsia" w:eastAsia="仿宋_GB2312;仿宋"/>
          <w:spacing w:val="-3"/>
          <w:sz w:val="32"/>
          <w:szCs w:val="32"/>
        </w:rPr>
        <w:t>日内完成投递。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城市邮件的投递频次应当每天不少于</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次；乡、镇人民政府所在地邮件的投递频次应当每周不少于</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次；村民委员会所在地邮件的投递频次应当每周不少于</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交通不便的边远地区邮件，按照邮政管理部门规定的时限、频次投递。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用户交寄邮件，应当清楚、准确地填写收件人姓名、地址和邮政编码，使用符合国家标准的信封，交寄包裹应当符合规定的封装规格和封装要求。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邮政企业采取按址投递或者与用户协商的其他方式投递邮件的，物业服务企业应当为邮政企业投递邮件提供便利。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物业服务合同有代收、代转邮件约定或者物业服务企业与业主有书面或者口头约定的，物业服务企业应当为业主代收、代转邮件。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单位收发人员和邮件代收人接收邮政企业投交的邮件时，应当当面核对，签收给据邮件，并对所接收的邮件负有保护和及时传递的责任，不得私拆、隐匿、毁弃邮件或者撕揭邮票。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单位收发人员、邮件代收人、收件人对无法转交或者误收的邮件，应当及时通知邮政企业收回。</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经省邮政管理部门和省交通运输主管部门核定的带有邮政专用标志的邮政普遍服务邮运车辆免予办理道路运输证，通过本省收费的公路、桥梁、隧道时，免缴通行费。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带有邮政专用标志的车辆运输、投递邮件时，确需通过禁行路线或者确需在禁止停车地段停车的，经公安机关交通管理部门同意，在确保交通安全的前提下，可以通行或者临时停靠作业。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带有邮政专用标志的车辆不得出租、出借或者用于其他活动。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带有邮政专用标志的车辆在运输、投递邮件途中发生道路交通安全违法行为或者交通事故的，公安机关交通管理部门应当及时处理并协助保护邮件安全。对于一般道路交通安全违法行为或者轻微交通事故，可以适用简易程序处理后先放行，待完成运输、投递任务后，再行处理；发生严重道路交通安全违法行为或者重大交通事故不能放行时，应当立即通知邮政企业，并协助及时转运邮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邮政企业及其工作人员不得实施下列行为：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（一）私拆、隐匿、毁弃、盗窃邮件；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（二）无故积压邮件、汇款；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（三）撕揭邮票；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（四）无故拒绝、拖延、中断应当为用户办理的邮政服务；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（五）擅自变更邮政普遍服务和特殊服务收费标准或者增加收费项目；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（六）强迫、误导或者限定用户使用指定的业务，向用户搭售商品、服务或者附加其他不合理条件；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（七）野蛮分拣，以抛扔、踩踏或者其他危险方法处理邮件；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（八）法律、法规禁止的其他行为。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县级以上人民政府应当对邮政普遍服务和特殊服务提供财政专项资金予以扶持。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邮政企业应当按照规定使用财政专项资金，专款专用，不得挪作他用，并接受财政部门和邮政管理部门的监督检查。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第四章　快递业务</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第二十四条</w:t>
      </w:r>
      <w:r>
        <w:rPr>
          <w:rFonts w:ascii="仿宋_GB2312;仿宋" w:hAnsi="仿宋_GB2312;仿宋" w:cs="仿宋_GB2312;仿宋" w:hint="eastAsia" w:eastAsia="仿宋_GB2312;仿宋"/>
          <w:spacing w:val="-3"/>
          <w:sz w:val="32"/>
          <w:szCs w:val="32"/>
        </w:rPr>
        <w:t>　县级以上人民政府应当将快递服务纳入现代服务业和现代物流业发展规划，制定和完善有关促进快递服务发展的政策措施，支持快递企业发展。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经营快递业务应当依法取得邮政管理部门颁发的快递业务经营许可证，并依法办理营业执照。未经许可，任何单位和个人不得经营快递业务。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快递企业设立分支机构或者合并、分立的，应当按照国家规定向邮政管理部门备案。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本条例所称快递企业，包括经营快递业务的邮政企业。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以加盟方式经营快递业务的企业，应当取得快递业务经营许可证，签订加盟经营合同。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被加盟人应当在服务标准、服务质量、经营行为、运营安全、业务流程、用户投诉、损失赔偿等方面对加盟人实行统一管理，向用户提供统一的跟踪查询和投诉处理服务，对加盟人给用户造成的损失依法承担连带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加盟人应当遵守共同的服务约定，使用统一的商标、商号、快递服务运单和收费标准。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快递企业提供的快递服务应当符合快递服务国家标准，并遵守其公开的服务承诺。鼓励快递企业制定和采用高于国家标准的企业标准。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快递企业收寄快件应当使用符合国家标准的快递运单。快递运单应当在显著位置注明企业赔偿责任等影响用户权益的内容，并符合法律有关格式条款的规定。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快递企业收寄快件前，应当提醒寄件人阅读快递运单的服务合同条款，指导寄件人规范填写快递运单，并建议寄件人对贵重物品购买保价或者保险服务。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寄件人应当如实、正确、完整地填写相关信息，核对无误后在快递运单相应位置签字确认。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快递企业应当在承诺时限内将快件投递到约定的收件地址和收件人或者收件人指定的代收人。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快递企业投递快件时，应当告知收件人当面验收。快件外包装完好的，由收件人签字确认。投递的快件注明为易碎品及外包装出现明显破损等异常情况的，快递企业应当告知收件人先验收内件再签收。快递企业与寄件人另有约定的除外。</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快递企业接受网络购物、电视购物和邮购等经营者的委托提供快递服务的，应当与经营者签订合同，明确快件投递时验收环节的权利义务。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网络购物、电视购物和邮购等经营者应当以显著方式提醒收件人注意快件验收的具体程序和要求。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快递企业应当对其从业人员加强职业操守、服务规范、作业规范、安全生产、车辆安全驾驶等方面的教育和培训。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快递企业应当妥善应对快递业务高峰期，做好业务量监测，加强网络统筹调度，及时向社会发布服务提示，认真处理用户投诉。</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快递企业在经营许可期内不得擅自中断、停止经营快递业务。确需临时歇业的，应当提前</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日向所在地的邮政管理部门书面报告，同时在营业场所及有关媒体上公告。终止经营快递业务的，还应当交回快递业务经营许可证并办理注销手续。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快递企业在中断、停止经营快递业务之前，对尚未投递的快件，应当按照国务院邮政管理部门的规定妥善处理。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省邮政管理部门和公安机关交通管理部门根据国家规定，结合本省实际对用于快递运输、投递的车辆在车型、车身标识等方面制定相应的规范。快递企业提供快递服务的专用车辆应当符合国家和本省的规定，并喷涂标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对带有标识的快递运输、投递车辆，公安机关交通管理部门及其他有关部门应当根据城市交通状况，采取多种措施，在确保安全的前提下，为快递车辆的通行、停靠提供便利。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本条例第十八条、第二十条第二款、第二十一条以及第二十二条第（一）、（四）、（六）、（七）项关于邮政企业、邮件和邮政车辆的规定，适用于快递企业、快件和快递车辆。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第五章　安全保障</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第三十六条</w:t>
      </w:r>
      <w:r>
        <w:rPr>
          <w:rFonts w:ascii="仿宋_GB2312;仿宋" w:hAnsi="仿宋_GB2312;仿宋" w:cs="仿宋_GB2312;仿宋" w:hint="eastAsia" w:eastAsia="仿宋_GB2312;仿宋"/>
          <w:spacing w:val="-3"/>
          <w:sz w:val="32"/>
          <w:szCs w:val="32"/>
        </w:rPr>
        <w:t>　公民的通信自由和通信秘密受法律保护。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除法律另有规定或者经用户书面同意外，任何组织和个人不得检查、扣留邮件、快件；邮件、快件被非法扣留的，邮政管理部门、公安机关应当责令扣件人及时放行邮件、快件。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邮政企业、快递企业应当保护用户的信息安全和通信秘密，确保所掌握的用户使用邮政服务、快递业务的相关信息不被窃取、泄露。未经法律明确授权或者用户书面同意，邮政企业、快递企业不得将用户使用邮政服务、快递业务的相关信息提供给任何组织或者个人，国家有关机关依法行使职权的除外。</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快递企业应当建立快递运单实物及电子数据档案管理制度，采取技术措施确保用户信息安全。快递运单的实物保存和电子档案保存应当满足快递服务标准规定的档案保管期限。保管期满后，按照规定集中销毁或者删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邮政企业、快递企业应当建立邮件、快件处理场所安全管理制度，完善安全生产条件，落实安全防范措施，防范各类安全生产事故。</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用户交寄和邮政企业、快递企业收寄邮件、快件，应当遵守国家关于禁止寄递或者限制寄递物品的规定。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邮政企业、快递企业对不能确定安全性的可疑物品，应当要求用户出具相关部门的安全证明。用户不能出具安全证明的，不予收寄。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邮政企业、快递企业应当对收寄的信件以外的邮件、快件依法进行验视，对符合寄递规定的加盖验视专用章或者专门标识。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邮政企业、快递企业在转运、投递邮件、快件过程中，发现有国家禁止寄递或者限制寄递物品的，应当按照有关规定，采取妥善措施进行处理，并及时报告有关部门。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根据国家规定需要寄件人出具身份证明或者提供有关书面凭证的，邮政企业、快递企业应当要求其出示有效身份证件或者提供有关书面凭证，核对无误后方可收寄。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县级以上人民政府应当将邮政业突发事件应急管理纳入地方应急管理体系。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邮政企业、快递企业应当建立健全重大突发事件应急机制，制定突发事件应急预案，加强应急队伍建设和物资、技术、经费保障，并报邮政管理部门备案。遇重大突发事件时，邮政企业、快递企业应当立即启动应急预案，采取有效处置措施保障人员安全和邮件、快件安全，并在一小时内向邮政管理部门和有关部门报告。遇重大服务阻断时，应当及时告知用户。</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为应对突发事件，县级以上人民政府和邮政管理部门可以调集和征用有关邮政企业、快递企业的人员、物资及车辆、场地和相关设备，并依法给予补偿。邮政企业、快递企业应当配合。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邮政管理部门、公安机关、国家安全机关和海关应当加强邮政行业安全管理制度和安全知识的宣传，提高从业人员的安全意识、安全操作技能，增强公众使用寄递服务的安全意识。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第六章　监督管理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第四十四条</w:t>
      </w:r>
      <w:r>
        <w:rPr>
          <w:rFonts w:ascii="仿宋_GB2312;仿宋" w:hAnsi="仿宋_GB2312;仿宋" w:cs="仿宋_GB2312;仿宋" w:hint="eastAsia" w:eastAsia="仿宋_GB2312;仿宋"/>
          <w:spacing w:val="-3"/>
          <w:sz w:val="32"/>
          <w:szCs w:val="32"/>
        </w:rPr>
        <w:t>　邮政管理部门应当建立健全监督检查制度，加强对邮政普遍服务和邮政市场的监督检查，依法查处违反邮政法律、法规的行为。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邮政管理部门发现邮政企业、快递企业存在安全隐患、服务质量问题、明显异常经营活动等情况，应当约谈其负责人，责令其进行整改。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邮政管理部门应当建立邮政普遍服务质量社会监督评价体系，对邮政普遍服务质量进行监督并向社会公布。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邮政管理部门应当建立以公众满意度、时限准时率和用户申诉率为主要内容的快递服务质量评价体系，定期、适时组织评估快递行业服务水平和质量，并向社会公布。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邮政企业、快递企业应当在规定期限内如实向邮政管理部门报送有关经营情况、服务质量自查情况和统计资料，并及时报告重大事故和重大服务质量问题。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邮政企业、快递企业应当建立和完善服务质量管理制度，向社会公布监督投诉电话、信箱，接受用户监督。对用户的举报和投诉，应当及时受理，并自受理之日起</w:t>
      </w:r>
      <w:r>
        <w:rPr>
          <w:rFonts w:eastAsia="仿宋_GB2312;仿宋" w:cs="仿宋_GB2312;仿宋" w:hint="eastAsia" w:ascii="仿宋_GB2312;仿宋" w:hAnsi="仿宋_GB2312;仿宋"/>
          <w:spacing w:val="-3"/>
          <w:sz w:val="32"/>
          <w:szCs w:val="32"/>
        </w:rPr>
        <w:t>7</w:t>
      </w:r>
      <w:r>
        <w:rPr>
          <w:rFonts w:ascii="仿宋_GB2312;仿宋" w:hAnsi="仿宋_GB2312;仿宋" w:cs="仿宋_GB2312;仿宋" w:hint="eastAsia" w:eastAsia="仿宋_GB2312;仿宋"/>
          <w:spacing w:val="-3"/>
          <w:sz w:val="32"/>
          <w:szCs w:val="32"/>
        </w:rPr>
        <w:t>日内答复用户。</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用户对于邮政企业、快递企业处理结果不满意的，可以向邮政管理部门进行申诉。邮政管理部门应当及时依法处理，自接到申诉之日起</w:t>
      </w:r>
      <w:r>
        <w:rPr>
          <w:rFonts w:eastAsia="仿宋_GB2312;仿宋" w:cs="仿宋_GB2312;仿宋" w:hint="eastAsia" w:ascii="仿宋_GB2312;仿宋" w:hAnsi="仿宋_GB2312;仿宋"/>
          <w:spacing w:val="-3"/>
          <w:sz w:val="32"/>
          <w:szCs w:val="32"/>
        </w:rPr>
        <w:t>30</w:t>
      </w:r>
      <w:r>
        <w:rPr>
          <w:rFonts w:ascii="仿宋_GB2312;仿宋" w:hAnsi="仿宋_GB2312;仿宋" w:cs="仿宋_GB2312;仿宋" w:hint="eastAsia" w:eastAsia="仿宋_GB2312;仿宋"/>
          <w:spacing w:val="-3"/>
          <w:sz w:val="32"/>
          <w:szCs w:val="32"/>
        </w:rPr>
        <w:t>日内作出答复。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被申诉企业对邮政管理部门转办的申诉应当及时、妥善处理，自收到转办申诉之日起</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日内向邮政管理部门答复处理结果。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第四十八条</w:t>
      </w:r>
      <w:r>
        <w:rPr>
          <w:rFonts w:ascii="仿宋_GB2312;仿宋" w:hAnsi="仿宋_GB2312;仿宋" w:cs="仿宋_GB2312;仿宋" w:hint="eastAsia" w:eastAsia="仿宋_GB2312;仿宋"/>
          <w:spacing w:val="-3"/>
          <w:sz w:val="32"/>
          <w:szCs w:val="32"/>
        </w:rPr>
        <w:t>　邮政企业撤销提供邮政普遍服务的邮政营业场所（含代办网点）或者停止、限制办理邮政普遍服务业务，应当经所在地邮政管理部门批准并公告。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邮政管理部门作出审批决定前，应当征求所在地乡镇人民政府或者街道办事处以及用户的意见；涉及重大公共利益需要听证的，应当向社会公告并举行听证。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邮政行业社会团体应当自觉接受邮政管理部门的监督管理，加强行业自律，引导企业依法、诚信经营，维护企业和用户的合法权益，促进邮政业健康发展。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第七章　法律责任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第五十条</w:t>
      </w:r>
      <w:r>
        <w:rPr>
          <w:rFonts w:ascii="仿宋_GB2312;仿宋" w:hAnsi="仿宋_GB2312;仿宋" w:cs="仿宋_GB2312;仿宋" w:hint="eastAsia" w:eastAsia="仿宋_GB2312;仿宋"/>
          <w:spacing w:val="-3"/>
          <w:sz w:val="32"/>
          <w:szCs w:val="32"/>
        </w:rPr>
        <w:t>　违反本条例规定的行为，法律、行政法规已有处罚规定的，从其规定。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第五十一条</w:t>
      </w:r>
      <w:r>
        <w:rPr>
          <w:rFonts w:ascii="仿宋_GB2312;仿宋" w:hAnsi="仿宋_GB2312;仿宋" w:cs="仿宋_GB2312;仿宋" w:hint="eastAsia" w:eastAsia="仿宋_GB2312;仿宋"/>
          <w:spacing w:val="-3"/>
          <w:sz w:val="32"/>
          <w:szCs w:val="32"/>
        </w:rPr>
        <w:t>　邮政企业违反本条例第八条第四款规定，擅自转让或者改变划拨土地和配套建设的邮政营业场所、邮件处理场所用途的，由邮政管理部门责令限期改正；逾期未改正的，由县级以上人民政府城乡规划、自然资源等相关行政主管部门依法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第五十二条</w:t>
      </w:r>
      <w:r>
        <w:rPr>
          <w:rFonts w:ascii="仿宋_GB2312;仿宋" w:hAnsi="仿宋_GB2312;仿宋" w:cs="仿宋_GB2312;仿宋" w:hint="eastAsia" w:eastAsia="仿宋_GB2312;仿宋"/>
          <w:spacing w:val="-3"/>
          <w:sz w:val="32"/>
          <w:szCs w:val="32"/>
        </w:rPr>
        <w:t>　邮政企业、快递企业违反本条例第二十二条、第二十七条规定，有下列行为之一的，由邮政管理部门责令改正，处</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万元以下罚款；情节严重的，处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（一）无故积压邮件、快件和汇款；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（二）强迫、误导或者限定用户使用指定的业务，向用户搭售商品、服务或者附加其他不合理条件；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（三）野蛮分拣，以抛扔、踩踏或者其他危险方法处理邮件、快件；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（四）服务不符合国家标准，损害用户利益。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第五十三条</w:t>
      </w:r>
      <w:r>
        <w:rPr>
          <w:rFonts w:ascii="仿宋_GB2312;仿宋" w:hAnsi="仿宋_GB2312;仿宋" w:cs="仿宋_GB2312;仿宋" w:hint="eastAsia" w:eastAsia="仿宋_GB2312;仿宋"/>
          <w:spacing w:val="-3"/>
          <w:sz w:val="32"/>
          <w:szCs w:val="32"/>
        </w:rPr>
        <w:t>　邮政企业、快递企业违反本条例第三十七条第二款规定，未按照标准保管快递运单、电子档案和保管期满后未按照规定集中销毁或者删除的，由邮政管理部门责令改正，处</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万元以下罚款；情节严重的，处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　　第五十四条</w:t>
      </w:r>
      <w:r>
        <w:rPr>
          <w:rFonts w:ascii="仿宋_GB2312;仿宋" w:hAnsi="仿宋_GB2312;仿宋" w:cs="仿宋_GB2312;仿宋" w:hint="eastAsia" w:eastAsia="仿宋_GB2312;仿宋"/>
          <w:spacing w:val="-3"/>
          <w:sz w:val="32"/>
          <w:szCs w:val="32"/>
        </w:rPr>
        <w:t>　邮政企业、快递企业违反本条例第三十九条第三款规定，未加盖验视专用章或者专门标识的，由邮政管理部门给予警告，责令限期改正；逾期未改正的，处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第五十五条</w:t>
      </w:r>
      <w:r>
        <w:rPr>
          <w:rFonts w:ascii="仿宋_GB2312;仿宋" w:hAnsi="仿宋_GB2312;仿宋" w:cs="仿宋_GB2312;仿宋" w:hint="eastAsia" w:eastAsia="仿宋_GB2312;仿宋"/>
          <w:spacing w:val="-3"/>
          <w:sz w:val="32"/>
          <w:szCs w:val="32"/>
        </w:rPr>
        <w:t>　邮政企业、快递企业违反本条例第四十六条规定，未按照规定报送有关情况、资料的，由邮政管理部门给予警告，责令限期改正；逾期未改正的，处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第五十六条</w:t>
      </w:r>
      <w:r>
        <w:rPr>
          <w:rFonts w:ascii="仿宋_GB2312;仿宋" w:hAnsi="仿宋_GB2312;仿宋" w:cs="仿宋_GB2312;仿宋" w:hint="eastAsia" w:eastAsia="仿宋_GB2312;仿宋"/>
          <w:spacing w:val="-3"/>
          <w:sz w:val="32"/>
          <w:szCs w:val="32"/>
        </w:rPr>
        <w:t>　邮政企业、快递企业违反本条例第四十七条规定，未在规定的时限内妥善处理用户投诉和邮政管理部门转办的申诉的，由邮政管理部门给予警告，责令限期改正；逾期未改正的，处</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第五十七条</w:t>
      </w:r>
      <w:r>
        <w:rPr>
          <w:rFonts w:ascii="仿宋_GB2312;仿宋" w:hAnsi="仿宋_GB2312;仿宋" w:cs="仿宋_GB2312;仿宋" w:hint="eastAsia" w:eastAsia="仿宋_GB2312;仿宋"/>
          <w:spacing w:val="-3"/>
          <w:sz w:val="32"/>
          <w:szCs w:val="32"/>
        </w:rPr>
        <w:t>　邮政管理部门工作人员在监督管理工作中有下列行为之一，尚不构成犯罪的，由所在单位或者有关部门给予处分：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（一）泄露监督检查中知悉的商业秘密的；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（二）滥用职权、玩忽职守、徇私舞弊的；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（三）违反法定程序实施监督检查的；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（四）其他不依法履行监督管理职责的。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pPr>
      <w:r>
        <w:rPr>
          <w:rFonts w:ascii="仿宋_GB2312;仿宋" w:hAnsi="仿宋_GB2312;仿宋" w:cs="黑体" w:hint="eastAsia" w:eastAsia="黑体"/>
          <w:spacing w:val="-3"/>
          <w:sz w:val="32"/>
          <w:szCs w:val="32"/>
        </w:rPr>
        <w:t>　　第五十八条</w:t>
      </w:r>
      <w:r>
        <w:rPr>
          <w:rFonts w:ascii="仿宋_GB2312;仿宋" w:hAnsi="仿宋_GB2312;仿宋" w:cs="仿宋_GB2312;仿宋" w:hint="eastAsia" w:eastAsia="仿宋_GB2312;仿宋"/>
          <w:spacing w:val="-3"/>
          <w:sz w:val="32"/>
          <w:szCs w:val="32"/>
        </w:rPr>
        <w:t>　本条例自</w:t>
      </w:r>
      <w:r>
        <w:rPr>
          <w:rFonts w:eastAsia="仿宋_GB2312;仿宋" w:cs="仿宋_GB2312;仿宋" w:hint="eastAsia" w:ascii="仿宋_GB2312;仿宋" w:hAnsi="仿宋_GB2312;仿宋"/>
          <w:spacing w:val="-3"/>
          <w:sz w:val="32"/>
          <w:szCs w:val="32"/>
        </w:rPr>
        <w:t>2014</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8</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2022-06-01T11:04:00Z</cp:lastPrinted>
  <dcterms:modified xsi:type="dcterms:W3CDTF">2022-06-14T09:19:33Z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09080867E8174FFC97D23690A6BDE246</vt:lpwstr>
  </property>
  <property fmtid="{D5CDD505-2E9C-101B-9397-08002B2CF9AE}" pid="3" name="KSOProductBuildVer">
    <vt:lpwstr>2052-10.8.0.5715</vt:lpwstr>
  </property>
</Properties>
</file>