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武汉市建筑节能与新型墙体材料应用管理条例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日武汉市第十一届人民代表大会常务委员会第二十六次会议通过  </w:t>
      </w:r>
      <w:r>
        <w:rPr>
          <w:rFonts w:eastAsia="楷体_GB2312" w:cs="楷体_GB2312" w:hint="eastAsia" w:ascii="楷体_GB2312" w:hAnsi="楷体_GB2312"/>
          <w:spacing w:val="-3"/>
          <w:sz w:val="32"/>
          <w:szCs w:val="32"/>
        </w:rPr>
        <w:t>2006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日湖北省第十届人民代表大会常务委员会第二十二次会议批准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楷体;楷体_GB2312" w:hAnsi="楷体;楷体_GB2312" w:eastAsia="楷体;楷体_GB2312" w:cs="楷体;楷体_GB2312" w:hint="eastAsia"/>
          <w:spacing w:val="-3"/>
          <w:sz w:val="32"/>
          <w:szCs w:val="32"/>
        </w:rPr>
      </w:pPr>
      <w:r>
        <w:rPr>
          <w:rFonts w:ascii="楷体;楷体_GB2312" w:hAnsi="楷体;楷体_GB2312" w:cs="楷体;楷体_GB2312" w:hint="eastAsia" w:eastAsia="楷体;楷体_GB2312"/>
          <w:spacing w:val="-3"/>
          <w:sz w:val="32"/>
          <w:szCs w:val="32"/>
        </w:rPr>
        <w:t>目    录</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第一章  总则</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第二章  建筑节能</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第三章  新型墙体材料的推广应用</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第四章  法律责任</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第五章  附则</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第一条  </w:t>
      </w:r>
      <w:r>
        <w:rPr>
          <w:rFonts w:ascii="仿宋_GB2312" w:hAnsi="仿宋_GB2312" w:cs="仿宋_GB2312" w:hint="eastAsia" w:eastAsia="仿宋_GB2312"/>
          <w:spacing w:val="-3"/>
          <w:sz w:val="32"/>
          <w:szCs w:val="32"/>
        </w:rPr>
        <w:t>为加强建筑节能与新型墙体材料的应用管理，降低建筑使用能耗，提高能源利用效率，发展新型墙体材料，保护土地资源和生态环境，促进全市经济和社会可持续发展，根据《中华人民共和国节约能源法》、《中华人民共和国建筑法》、《建设工程质量管理条例》和其他有关法律、法规，结合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本条例适用于本市行政区域内建筑节能和新型墙体材料应用的管理。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本条例所称建筑节能，是指在居住建筑和公共建筑的规划、设计、建造和使用过程中，通过执行现行建筑节能标准，提高建筑围护结构热工性能，采用节能型用能系统和可再生能源利用系统，切实降低建筑能源消耗的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本条例所称新型墙体材料，是指符合国家、行业和地方技术标准，以非粘土为原材料生产的各类墙体材料。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市建设行政主管部门负责全市建筑节能与新型墙体材料应用的监督管理。区建设行政主管部门、武汉经济技术开发区、武汉东湖新技术开发区按照职责负责本辖区内建筑节能和新型墙体材料应用管理工作。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市发展改革行政管理部门，市、区人民政府土地、规划、城市管理、工商、质监、环保等行政管理部门按照各自职责，做好建筑节能与新型墙体材料的应用管理工作。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市建设行政主管部门应当及时公开建筑节能与新型墙体材料的政策法规、技术标准、执法依据、执法程序等信息，简化办事程序，提高办事效率，做好服务工作。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建筑节能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新建建筑应当执行国家和省颁布的建筑节能标准。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既有建筑的改建、扩建，应当按照建筑节能标准同步进行节能改造。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市、区建设行政主管部门负责编制本行政区域的建筑节能专项规划，经同级人民政府批准后，纳入国民经济和社会发展规划。建筑节能专项规划由市、区建设行政主管部门负责组织实施。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市建设行政主管部门应当根据国家建筑节能标准，组织编制相应的建筑节能技术规程和应用标准图集，并编制建筑节能工程补充定额。建筑节能技术规程应当对建筑节能设备、技术、工艺等的安全标准作出明确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本市鼓励发展下列建筑节能技术与产品：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（一）新型节能墙体和屋面的保温、隔热技术与产品；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（二）节能门窗的保温、隔热和密闭技术；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（三）集中供热和热、电、冷联产联供技术；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（四）采暖供热系统温度调控和分户热量计量技术与装置；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（五）太阳能、地热等再生能源的应用技术与设备；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（六）建筑照明节能技术与产品；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（七）空调制冷节能技术与产品；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（八）既有建筑的建筑节能改造技术；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（九）其他技术成熟、效果显著的节能技术和节能管理技术。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建筑工程在设计、施工、装修、维护、改造过程中，应当使用前款所列建筑节能技术与产品。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市建设行政主管部门应当及时公开鼓励推广应用的建筑节能技术与产品目录。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第十条 </w:t>
      </w:r>
      <w:r>
        <w:rPr>
          <w:rFonts w:ascii="仿宋_GB2312" w:hAnsi="仿宋_GB2312" w:cs="仿宋_GB2312" w:hint="eastAsia" w:eastAsia="仿宋_GB2312"/>
          <w:spacing w:val="-3"/>
          <w:sz w:val="32"/>
          <w:szCs w:val="32"/>
        </w:rPr>
        <w:t xml:space="preserve"> 建筑工程在设计、施工、装修、维护、改造过程中，禁止采用国家明令禁止或者淘汰的建筑材料和建筑用能设备、产品、技术、工艺。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市建设行政主管部门应当及时公开国家明令禁止或者限制采用的技术及产品目录。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建筑节能产品应当达到国家标准、行业标准或者地方标准。生产没有国家标准、行业标准或者地方标准的建筑用能产品，生产企业应当制定企业标准，报市质量技术监督行政管理部门备案，并抄报市建设行政主管部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质量技术监督行政管理部门应当在生产领域加强对建筑节能产品质量的监督检查。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本市鼓励既有建筑的节能改造。既有建筑节能改造资金筹措办法和相关激励政策由市人民政府另行制定。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鼓励建设集中采暖供热建筑。采用集中采暖供热的建筑物，应当安设分户计量、分室调控装置。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城市规划行政管理部门在审批城镇建设修建性详细规划和建筑设计方案时，应当在建筑的布局、体形、朝向、通风和绿化等方面综合审查能源利用和建筑节能的效率。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新建、改建、扩建建筑工程项目的立项报告、设计任务书、规划设计方案和初步设计，应当包括建筑节能的专题论证，有关行政管理部门对不符合节能标准的项目，不得批准建设。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建设单位在委托建筑工程项目的规划、设计、施工和监理时，应当明确约定执行有关法律、法规的规定和建筑节能标准，不得要求或者默许设计单位、施工单位、监理单位不执行建筑节能标准或者擅自修改设计文件，降低建筑节能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设计单位应当依据建筑节能设计标准进行设计，严格执行建筑节能强制性标准，保证建筑节能设计质量。设计中应当包括建筑节能指标的专项报告，充分考虑水、暖、电以及太阳能利用系统等节能设施的安装需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施工图审查机构对建筑工程施工图设计文件进行审查时，应当审查节能设计的内容，在审查报告中单列节能审查章节；未经审查或者不符合建筑节能设计标准强制性条文的，不得颁发施工图审查合格书。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建设行政主管部门在办理项目施工许可时，应当查验项目的施工图审查合格书。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施工单位应当严格按照经审查合格的施工图设计文件和建筑节能施工技术规程进行施工，不得使用不合格或者不符合设计要求的建筑节能材料、产品、设备。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经审查批准的施工图设计文件不得擅自变更，确需变更且涉及建筑节能设计标准强制性条文的，应当报原施工图审查机构重新审查。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在施工过程中，建筑节能材料、产品、设备的更换，应当按照等效的原则进行更换。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监理单位应当按照建筑节能标准、设计文件的规定和要求实施监理。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墙体、屋面等保温工程隐蔽前，监理工程师应当对保温工程实施同步监理。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未经监理工程师签字，墙体材料、保温材料、门窗制品、采暖空调系统、照明设备不得在工程上使用或者安装，施工单位不得进行下一道工序的施工。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建设行政主管部门应当对在建工程的围护结构（包括墙体、屋面、门窗、玻璃幕墙、底层架空楼板等）、供热采暖和制冷系统、照明和通风等电器设备是否符合节能要求进行监督检查。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建设单位在组织项目竣工验收时，应当同时验收建筑节能的实施情况，并在向市建设行政主管部门或者市建筑工程质量监督机构备案的工程竣工验收报告中，注明建筑节能的实施内容和验收情况。</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建设行政主管部门或者其委托的工程质量监督机构，应当对建设单位报送的建筑工程竣工验收报告和有关材料进行建筑节能工程专项审查，对达不到建筑节能标准的项目，责令其限期改正。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房地产开发经营项目在销售和交付使用时，应当在售房合同和房屋使用说明书中注明建筑物的节能措施、围护结构保温隔热性能、用能系统和可再生能源利用系统的状况以及相应保护、使用要求。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房地产开发管理部门在房地产开发企业申请商品房预售许可时，应当审核房屋使用说明书中的建筑节能措施和相应保护、使用要求等内容。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建筑物的所有权人或者使用人在装修、使用、维护、改造建筑过程中，应当遵守建筑节能的规定和要求，不得损坏原有的建筑节能设施和构造，降低节能标准，不得影响公共利益和他人合法权益。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本市推行建筑能效测评及标识制度。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对高于现行建筑节能标准的建筑，建设单位可以根据自愿原则，向具有资质的专业机构申请认定。具体认定办法由市建设行政主管部门另行制定。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建设单位不得虚构、夸大建筑节能效果，误导消费者。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建设行政主管部门应当对建筑能效认定行为进行监督管理。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从事建筑节能及其相关管理活动的单位，应当对其从业人员进行建筑节能标准与技术等专业知识的培训。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市建设行政主管部门应当将建筑节能标准与技术培训列入相关注册执业资格人员的继续教育内容。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农民自建低层住宅参照本章有关规定执行。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新型墙体材料的推广应用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本市禁止生产、销售、使用实心粘土砖。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本市逐步禁止生产、销售、使用其他粘土砖。禁止生产、销售、使用其他粘土砖的地区和时限由市人民政府确定并公布。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禁止占用耕地、毁田取土生产粘土砖。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禁止销售、使用的粘土砖不包括本条例实施前已经生产和购买的粘土砖。法律、法规对旧城风貌区和文物保护单位使用墙体材料另有规定的，从其规定。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区人民政府、武汉经济技术开发区管委会、武汉东湖新技术开发区管委会应当按照市人民政府的有关规定负责组织、指导本辖区粘土砖生产企业的关闭或者转产。</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生产粘土砖的企业向新型墙体材料转产的，市、区人民政府应当给予鼓励和扶持。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市、区人民政府及其有关部门应当鼓励扶持新型墙体材料的开发、生产、应用，新型墙体材料符合国家公布的新型墙体材料目录及生产规模的，生产企业依法享受优惠政策。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鼓励企业利用粉煤灰、炉渣、建筑垃圾等固体废物生产符合环境保护要求的新型墙体材料。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新型墙体材料应当达到国家标准、行业标准或者地方标准。生产没有国家标准、行业标准或者地方标准的新型墙体材料，生产企业应当制定企业标准，报市质量技术监督行政管理部门备案，并抄报市建设行政主管部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禁止生产、销售、使用没有产品标准或者达不到产品标准的墙体材料。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建设单位不得要求设计单位和施工单位在设计、施工中使用实心粘土砖或者其他禁止使用的墙体材料。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设计单位不得设计采用实心粘土砖或者其他禁止使用的墙体材料。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施工单位不得违反设计图纸的要求使用实心粘土砖或者其他禁止使用的墙体材料。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监理单位不得同意建筑工程违反设计图纸的要求使用实心粘土砖或者其他禁止使用的墙体材料。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法律责任</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建设单位违反本条例，有下列行为之一的，由建设行政主管部门按照以下规定予以处理：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（一）违反建筑节能强制性标准，降低节能工程质量的，或者使用不合格的建筑节能材料、产品或者设备的，责令改正，处以二十万元以上五十万元以下的罚款。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（二）未进行节能验收或者将节能验收不合格的建筑工程擅自交付使用的，责令改正，处以工程合同价款百分之二以上百分之四以下的罚款；造成损失的，依法承担赔偿责任。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（三）使用实心粘土砖或者其他禁止使用的墙体材料的，责令改正，按其使用量处以每立方米二百元的罚款。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设计单位违反本条例，有下列行为之一的，由建设行政主管部门按照以下规定予以处理：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按照建筑节能强制性标准进行设计的，责令改正，处以十万元以上三十万元以下的罚款；造成工程质量事故的，责令停业整顿，降低资质等级；情节严重的，吊销资质证书；造成损失的，依法承担赔偿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（二）设计中采用实心粘土砖或者其他禁止使用的墙体材料的，责令改正，处以五万元以上十万元以下的罚款。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施工图审查机构违反本条例的规定，对应当进行建筑节能设计审查的施工图设计文件不进行节能设计审查的，由市建设行政主管部门责令改正，处以五万元以上十万元以下的罚款；情节严重的，提请省建设行政主管部门撤销对审查机构的认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施工单位违反本条例，有下列行为之一的，由建设行政主管部门按照以下规定予以处理：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在施工中使用不合格的建筑节能材料、产品或者设备的，或者不按照节能设计图纸、施工技术标准施工的，责令改正，处以工程合同价款百分之二以上百分之四以下的罚款；情节严重的，责令停业整顿，降低资质等级或者吊销资质证书；造成损失的，依法承担赔偿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（二）擅自使用实心粘土砖或者其他禁止使用的墙体材料的，责令改正，按其使用量处以每立方米二百元的罚款。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工程监理单位违反本条例的规定，与建设单位或者施工单位串通，弄虚作假、降低工程质量的；或者将不合格的建设工程、建筑材料、建筑构配件和设备按照合格签字的；由建设行政主管部门责令改正，处以五十万元以上一百万元以下的罚款；情节严重的，降低资质等级或者吊销资质证书；有违法所得的，予以没收；造成损失的，承担连带赔偿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监理工程师有前款规定行为的，由建设行政主管部门责令改正，处以一万元以上五万元以下的罚款；情节严重的，吊销资格证书；造成损失的，依法承担赔偿责任。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违反本条例规定，房地产开发企业在销售和交付经营项目时，在售房合同或者房屋使用说明书中未载明或者夸大所售经营项目的节能措施等基本信息的，由建设行政主管部门责令改正，可处以二万元以上五万元以下的罚款；情节严重的，由颁发资质证书的部门降低资质等级，直至吊销资质证书，并处以五万元以上二十万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生产单位违反本条例规定生产实心粘土砖或者其他禁止使用的墙体材料的，由建设行政主管部门责令改正，处以五十万元以上一百万元以下的罚款；对违法占用耕地、毁田取土的，由国土资源行政管理部门依法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销售单位或者个人违反本条例的规定销售实心粘土砖或者其他禁止使用的墙体材料的，由工商行政管理部门责令停止销售，没收违法所得和违法销售的产品，并处以违法销售产品货值金额等值以下的罚款。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建筑物所有权人或者使用人违反本条例规定，擅自改变建筑节能设施，降低建筑节能标准，影响公共利益和他人合法权益的，由建设行政主管部门责令改正，由责任人及时予以修复，并承担相应费用。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建设行政主管部门可以委托其所属的建筑节能与墙体材料管理机构、建筑工程质量监督机构实施行政处罚。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其他规定的，由有关行政管理部门依照有关法律、法规的规定予以处罚；构成违反治安管理行为的，由公安机关依照《中华人民共和国治安管理处罚法》等规定予以处罚；构成犯罪的，由司法机关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行政机关及其工作人员有下列行为之一的，依照法律、法规和有关行政过错责任追究的规定，对有关责任人予以追究：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（一）发现违反建筑节能和新型墙体材料应用管理规定的行为未及时予以查处的；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（二）违反本条例规定实施建设工程施工许可及其他行政许可的；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（三）未按本条例规定对生产实心粘土砖或者其他禁止使用的墙体材料的企业依法责令关闭或者转产的；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（四）其他不履行或者不当履行管理职责的行为。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附则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楷体">
    <w:altName w:val="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2019-09-01T10:21:24Z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