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eastAsia="宋体;SimSun" w:cs="宋体;SimSun" w:hint="eastAsia"/>
          <w:bCs/>
          <w:color w:val="000000"/>
          <w:sz w:val="44"/>
          <w:szCs w:val="44"/>
          <w:lang w:val="zh-CN"/>
        </w:rPr>
      </w:pPr>
      <w:r>
        <w:rPr>
          <w:rFonts w:ascii="宋体;SimSun" w:hAnsi="宋体;SimSun" w:cs="宋体;SimSun" w:hint="eastAsia" w:eastAsia="宋体;SimSun"/>
          <w:bCs/>
          <w:color w:val="000000"/>
          <w:sz w:val="44"/>
          <w:szCs w:val="44"/>
          <w:lang w:val="zh-CN"/>
        </w:rPr>
        <w:t>湖北省城市商业网点建设管理条例</w:t>
      </w:r>
    </w:p>
    <w:p>
      <w:pPr>
        <w:pStyle w:val="Normal"/>
        <w:widowControl w:val="false"/>
        <w:spacing w:lineRule="exact" w:line="570"/>
        <w:rPr>
          <w:rFonts w:ascii="宋体;SimSun" w:hAnsi="宋体;SimSun" w:eastAsia="宋体;SimSun" w:cs="宋体;SimSun" w:hint="eastAsia"/>
          <w:bCs/>
          <w:color w:val="000000"/>
          <w:sz w:val="44"/>
          <w:szCs w:val="32"/>
          <w:lang w:val="zh-CN"/>
        </w:rPr>
      </w:pPr>
      <w:r>
        <w:rPr>
          <w:rFonts w:eastAsia="宋体;SimSun" w:cs="宋体;SimSun" w:hint="eastAsia" w:ascii="宋体;SimSun" w:hAnsi="宋体;SimSun"/>
          <w:bCs/>
          <w:color w:val="000000"/>
          <w:sz w:val="44"/>
          <w:szCs w:val="32"/>
          <w:lang w:val="zh-CN"/>
        </w:rPr>
      </w:r>
    </w:p>
    <w:p>
      <w:pPr>
        <w:pStyle w:val="Normal"/>
        <w:widowControl w:val="false"/>
        <w:spacing w:lineRule="exact" w:line="570"/>
        <w:ind w:start="640" w:end="640"/>
        <w:rPr>
          <w:rFonts w:ascii="楷体_GB2312" w:hAnsi="楷体_GB2312" w:eastAsia="楷体_GB2312" w:cs="楷体_GB2312"/>
          <w:szCs w:val="32"/>
          <w:lang w:val="zh-CN"/>
        </w:rPr>
      </w:pPr>
      <w:r>
        <w:rPr>
          <w:rFonts w:ascii="楷体_GB2312" w:hAnsi="楷体_GB2312" w:cs="楷体_GB2312" w:hint="eastAsia" w:eastAsia="楷体_GB2312"/>
          <w:szCs w:val="32"/>
          <w:lang w:val="zh-CN"/>
        </w:rPr>
        <w:t>（</w:t>
      </w:r>
      <w:r>
        <w:rPr>
          <w:rFonts w:eastAsia="楷体_GB2312" w:cs="楷体_GB2312" w:ascii="楷体_GB2312" w:hAnsi="楷体_GB2312"/>
          <w:szCs w:val="32"/>
          <w:lang w:val="zh-CN"/>
        </w:rPr>
        <w:t>1997</w:t>
      </w:r>
      <w:r>
        <w:rPr>
          <w:rFonts w:ascii="楷体_GB2312" w:hAnsi="楷体_GB2312" w:cs="楷体_GB2312" w:hint="eastAsia" w:eastAsia="楷体_GB2312"/>
          <w:szCs w:val="32"/>
          <w:lang w:val="zh-CN"/>
        </w:rPr>
        <w:t>年</w:t>
      </w:r>
      <w:r>
        <w:rPr>
          <w:rFonts w:eastAsia="楷体_GB2312" w:cs="楷体_GB2312" w:ascii="楷体_GB2312" w:hAnsi="楷体_GB2312"/>
          <w:szCs w:val="32"/>
          <w:lang w:val="zh-CN"/>
        </w:rPr>
        <w:t>3</w:t>
      </w:r>
      <w:r>
        <w:rPr>
          <w:rFonts w:ascii="楷体_GB2312" w:hAnsi="楷体_GB2312" w:cs="楷体_GB2312" w:hint="eastAsia" w:eastAsia="楷体_GB2312"/>
          <w:szCs w:val="32"/>
          <w:lang w:val="zh-CN"/>
        </w:rPr>
        <w:t>月</w:t>
      </w:r>
      <w:r>
        <w:rPr>
          <w:rFonts w:eastAsia="楷体_GB2312" w:cs="楷体_GB2312" w:ascii="楷体_GB2312" w:hAnsi="楷体_GB2312"/>
          <w:szCs w:val="32"/>
          <w:lang w:val="zh-CN"/>
        </w:rPr>
        <w:t>28</w:t>
      </w:r>
      <w:r>
        <w:rPr>
          <w:rFonts w:ascii="楷体_GB2312" w:hAnsi="楷体_GB2312" w:cs="楷体_GB2312" w:hint="eastAsia" w:eastAsia="楷体_GB2312"/>
          <w:szCs w:val="32"/>
          <w:lang w:val="zh-CN"/>
        </w:rPr>
        <w:t>日湖北省第八届人民代表大会常务委员会第二十七次会议通过</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根据</w:t>
      </w:r>
      <w:r>
        <w:rPr>
          <w:rFonts w:eastAsia="楷体_GB2312" w:cs="楷体_GB2312" w:ascii="楷体_GB2312" w:hAnsi="楷体_GB2312"/>
          <w:szCs w:val="32"/>
          <w:lang w:val="zh-CN"/>
        </w:rPr>
        <w:t>2014</w:t>
      </w:r>
      <w:r>
        <w:rPr>
          <w:rFonts w:ascii="楷体_GB2312" w:hAnsi="楷体_GB2312" w:cs="楷体_GB2312" w:hint="eastAsia" w:eastAsia="楷体_GB2312"/>
          <w:szCs w:val="32"/>
          <w:lang w:val="zh-CN"/>
        </w:rPr>
        <w:t>年</w:t>
      </w:r>
      <w:r>
        <w:rPr>
          <w:rFonts w:eastAsia="楷体_GB2312" w:cs="楷体_GB2312" w:ascii="楷体_GB2312" w:hAnsi="楷体_GB2312"/>
          <w:szCs w:val="32"/>
          <w:lang w:val="zh-CN"/>
        </w:rPr>
        <w:t>9</w:t>
      </w:r>
      <w:r>
        <w:rPr>
          <w:rFonts w:ascii="楷体_GB2312" w:hAnsi="楷体_GB2312" w:cs="楷体_GB2312" w:hint="eastAsia" w:eastAsia="楷体_GB2312"/>
          <w:szCs w:val="32"/>
          <w:lang w:val="zh-CN"/>
        </w:rPr>
        <w:t>月</w:t>
      </w:r>
      <w:r>
        <w:rPr>
          <w:rFonts w:eastAsia="楷体_GB2312" w:cs="楷体_GB2312" w:ascii="楷体_GB2312" w:hAnsi="楷体_GB2312"/>
          <w:szCs w:val="32"/>
          <w:lang w:val="zh-CN"/>
        </w:rPr>
        <w:t>25</w:t>
      </w:r>
      <w:r>
        <w:rPr>
          <w:rFonts w:ascii="楷体_GB2312" w:hAnsi="楷体_GB2312" w:cs="楷体_GB2312" w:hint="eastAsia" w:eastAsia="楷体_GB2312"/>
          <w:szCs w:val="32"/>
          <w:lang w:val="zh-CN"/>
        </w:rPr>
        <w:t>日湖北省第十二届人民代表大会常务委员会第十一次会议《关于集中修改、废止部分省本级地方性法规的决定》第一次修正</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日湖北省第十二届人民代表大会常务委员会第三十一次会议《关于集中修改、废止部分省本级地方性法规的决定》第二次修正</w:t>
      </w:r>
      <w:r>
        <w:rPr>
          <w:rFonts w:ascii="楷体_GB2312" w:hAnsi="楷体_GB2312" w:cs="楷体_GB2312" w:hint="eastAsia" w:eastAsia="楷体_GB2312"/>
          <w:szCs w:val="32"/>
          <w:lang w:val="zh-CN"/>
        </w:rPr>
        <w:t>）</w:t>
      </w:r>
    </w:p>
    <w:p>
      <w:pPr>
        <w:pStyle w:val="Normal"/>
        <w:widowControl w:val="false"/>
        <w:spacing w:lineRule="exact" w:line="570"/>
        <w:ind w:firstLine="500" w:end="0"/>
        <w:jc w:val="center"/>
        <w:rPr>
          <w:rFonts w:ascii="宋体;SimSun" w:hAnsi="宋体;SimSun" w:eastAsia="楷体_GB2312" w:cs="宋体;SimSun"/>
          <w:color w:val="000000"/>
          <w:szCs w:val="32"/>
          <w:lang w:val="zh-CN"/>
        </w:rPr>
      </w:pPr>
      <w:r>
        <w:rPr>
          <w:rFonts w:eastAsia="楷体_GB2312" w:cs="宋体;SimSun" w:ascii="宋体;SimSun" w:hAnsi="宋体;SimSun"/>
          <w:color w:val="000000"/>
          <w:szCs w:val="32"/>
          <w:lang w:val="zh-CN"/>
        </w:rPr>
      </w:r>
    </w:p>
    <w:p>
      <w:pPr>
        <w:pStyle w:val="Normal"/>
        <w:widowControl w:val="false"/>
        <w:spacing w:lineRule="exact" w:line="570"/>
        <w:rPr>
          <w:rFonts w:ascii="仿宋_GB2312" w:hAnsi="仿宋_GB2312" w:cs="??_GB2312;Times New Roman" w:hint="eastAsia"/>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为加强城市商业网点的建设和管理，增强城市综合服务功能，方便居民生产与生活，促进经济和社会发展，根据本省实际，制定本条例。</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本条例适用于本省行政区域内城市商业网点的规划、建设和管理。</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本条例所称城市商业网点，是指用于商业批发、零售、仓储和各种经营性服务的固定场所。</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本条例所称与居民日常生活密切相关的商业网点，是指粮店、菜场、副食店、煤店、理发店、修理店、浴室等。</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省商务行政主管部门是全省城市商业网点建设管理的主管部门。市、州、县人民政府确定的商业网点行政管理部门是本行政区域内城市商业网点建设管理的主管部门。有关部门在各自的职责范围内，做好城市商业网点建设有关工作。</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城市商业网点发展规划，由规划行政主管部门会同商业网点建设管理主管部门编制并纳入城市总体规划。</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商业网点建设计划，由商业网点建设管理主管部门根据商业网点发展规划，会同建设、土地等行政主管部门编制，经计划行政主管部门综合平衡后，报当地人民政府批准，纳入国民经济和社会发展计划。</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城市商业网点建设必须严格按规划实施，任何单位和个人不得擅自变更。确需变更的，应按原审批程序报批。</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城市商业网点建设应当遵循市场经济发展规律，鼓励多种经济成份并存，采用多种经营方式发展，依法保护投资者的经济利益。坚持统一规划，合理布局，设施配套，规模适度，有利生产，方便生活的原则，根据区域、地段的不同情况，规划相应等级的商业区（街），配置相应行业、类型、数量的商业网点。</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新建居民区，改造旧城区、工矿区，兴建车站、港口、机场和旅游区，对与居民日常生活密切相关的商业网点应同时规划，同时设计，按期交付使用。</w:t>
      </w:r>
    </w:p>
    <w:p>
      <w:pPr>
        <w:pStyle w:val="Normal"/>
        <w:widowControl w:val="false"/>
        <w:spacing w:lineRule="exact" w:line="570"/>
        <w:rPr>
          <w:rFonts w:ascii="??_GB2312;Times New Roman" w:hAnsi="??_GB2312;Times New Roman" w:eastAsia="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城市建设中需拆除的商业网点，应根据商业网点建设规划，按照有关规定统一还建。被拆除的与居民日常生活密切相关的商业网点以及名店等，应就地或者就近重建，并按规定时间交付使用。</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兴建大中型商业网点，须经当地商业网点建设管理主管部门审查同意后，按基本建设项目审批程序报批。</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新建居民住宅的，建设单位在有关部门进行建设工程初审后，到当地商业网点建设管理主管部门办理商业网点配套建设手续。未办手续的，建设规划部门不予办理施工许可手续。</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城市新建居民住宅的建设单位，必须按照国家和省规定的比例与标准拨出商业网点用房或者缴纳商业网点建设配套费，配套建设商业网点（以下简称配套商业网点用房），其产权属国家所有。</w:t>
      </w:r>
    </w:p>
    <w:p>
      <w:pPr>
        <w:pStyle w:val="Normal"/>
        <w:widowControl w:val="false"/>
        <w:spacing w:lineRule="exact" w:line="570"/>
        <w:rPr>
          <w:rFonts w:ascii="??_GB2312;Times New Roman" w:hAnsi="??_GB2312;Times New Roman" w:eastAsia="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商业网点建设配套费的减免，由商业网点建设管理主管部门按国家和省人民政府有关规定审查批准，其他任何单位和个人均无权决定减免。</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商业网点建设配套费及其有偿使用的增值收入、配套商业网点用房的增值收入均应纳入财政预算外资金管理，实行财政专户储存。</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商业网点建设配套费主要用于扶持与居民日常生活密切相关的商业网点的新建、改建和扩建。使用必须严格审批手续，专款专用，有偿使用。</w:t>
      </w:r>
    </w:p>
    <w:p>
      <w:pPr>
        <w:pStyle w:val="Normal"/>
        <w:widowControl w:val="false"/>
        <w:spacing w:lineRule="exact" w:line="570"/>
        <w:ind w:firstLine="634" w:end="0"/>
        <w:rPr>
          <w:rFonts w:ascii="仿宋_GB2312" w:hAnsi="仿宋_GB2312" w:cs="宋体;SimSun"/>
          <w:color w:val="000000"/>
          <w:szCs w:val="32"/>
          <w:lang w:val="zh-CN"/>
        </w:rPr>
      </w:pPr>
      <w:r>
        <w:rPr>
          <w:rFonts w:ascii="黑体;SimHei" w:hAnsi="黑体;SimHei" w:cs="黑体;SimHei" w:hint="eastAsia" w:eastAsia="黑体;SimHei"/>
          <w:color w:val="000000"/>
          <w:szCs w:val="32"/>
          <w:lang w:val="zh-CN"/>
        </w:rPr>
        <w:t>第十四条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配套商业网点用房主要用于与居民日常生活密切相关的商业网点的经营，由当地商业网点建设管理主管部门管理，土地和房产管理部门应依法办理有关手续。</w:t>
      </w:r>
    </w:p>
    <w:p>
      <w:pPr>
        <w:pStyle w:val="Normal"/>
        <w:widowControl w:val="false"/>
        <w:spacing w:lineRule="exact" w:line="570"/>
        <w:ind w:firstLine="634" w:end="0"/>
        <w:rPr>
          <w:rFonts w:ascii="仿宋_GB2312" w:hAnsi="仿宋_GB2312" w:cs="宋体;SimSun"/>
          <w:color w:val="000000"/>
          <w:szCs w:val="32"/>
          <w:lang w:val="zh-CN"/>
        </w:rPr>
      </w:pPr>
      <w:r>
        <w:rPr>
          <w:rFonts w:ascii="仿宋_GB2312" w:hAnsi="仿宋_GB2312" w:cs="宋体;SimSun" w:hint="eastAsia"/>
          <w:color w:val="000000"/>
          <w:szCs w:val="32"/>
          <w:lang w:val="zh-CN"/>
        </w:rPr>
        <w:t>任何单位和个人不得侵占、毁坏配套商业网点用房，也不得随意改变其用途，确需改变的，应经当地商业网点建设管理主管部门批准。</w:t>
      </w:r>
    </w:p>
    <w:p>
      <w:pPr>
        <w:pStyle w:val="Normal"/>
        <w:widowControl w:val="false"/>
        <w:spacing w:lineRule="exact" w:line="570"/>
        <w:rPr>
          <w:rFonts w:ascii="??_GB2312;Times New Roman" w:hAnsi="??_GB2312;Times New Roman" w:eastAsia="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商业网点建设管理主管部门应认真履行职责，加强监督检查。对与居民日常生活密切相关的商业网点，应按规定的服务范围设置。原规划布局不合理的，应分期分批予以调整。</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违反本条例第四条、第九条，不按商业网点发展规划和建设计划建设大中型商业网点的，由城市规划部门或者商业网点建设管理主管部门责令其停止建设，限期改正。</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擅自拆除或者毁坏、侵占配套商业网点用房及其设施的，由城市商业网点建设管理主管部门责令其赔偿损失，并可处</w:t>
      </w:r>
      <w:r>
        <w:rPr>
          <w:rFonts w:cs="宋体;SimSun" w:ascii="仿宋_GB2312" w:hAnsi="仿宋_GB2312"/>
          <w:color w:val="000000"/>
          <w:szCs w:val="32"/>
          <w:lang w:val="zh-CN"/>
        </w:rPr>
        <w:t>3</w:t>
      </w:r>
      <w:r>
        <w:rPr>
          <w:rFonts w:ascii="仿宋_GB2312" w:hAnsi="仿宋_GB2312" w:cs="宋体;SimSun" w:hint="eastAsia"/>
          <w:color w:val="000000"/>
          <w:szCs w:val="32"/>
          <w:lang w:val="zh-CN"/>
        </w:rPr>
        <w:t>千元以上</w:t>
      </w:r>
      <w:r>
        <w:rPr>
          <w:rFonts w:cs="宋体;SimSun" w:ascii="仿宋_GB2312" w:hAnsi="仿宋_GB2312"/>
          <w:color w:val="000000"/>
          <w:szCs w:val="32"/>
          <w:lang w:val="zh-CN"/>
        </w:rPr>
        <w:t>8</w:t>
      </w:r>
      <w:r>
        <w:rPr>
          <w:rFonts w:ascii="仿宋_GB2312" w:hAnsi="仿宋_GB2312" w:cs="宋体;SimSun" w:hint="eastAsia"/>
          <w:color w:val="000000"/>
          <w:szCs w:val="32"/>
          <w:lang w:val="zh-CN"/>
        </w:rPr>
        <w:t>千元以下的罚款。</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擅自转租配套商业网点用房或者改变其用途的，由城市商业网点建设管理主管部门收回其使用权。</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违反本条例第十一条，不按规定拨出商业网点用房或者缴纳商业网点建设配套费的，由城市商业网点建设管理主管部门责令限期拨出或者缴纳，并按国家和省规定的比例收取滞纳金。</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商业网点建设管理主管部门工作人员玩忽职守，徇私舞弊，侵占、截留、挪用商业网点建设配套费的，根据国家有关规定予以处罚。情节严重，构成犯罪的，依法追究刑事责任。</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当事人对行政处罚决定不服的，可依法申请复议或者向人民法院起诉。逾期不申请复议，也不向人民法院起诉，又不履行处罚决定的，由作出处罚决定的机关申请人民法院强制执行。</w:t>
      </w:r>
    </w:p>
    <w:p>
      <w:pPr>
        <w:pStyle w:val="Normal"/>
        <w:widowControl w:val="false"/>
        <w:spacing w:lineRule="exact" w:line="570"/>
        <w:rPr>
          <w:rFonts w:ascii="宋体;SimSun" w:hAnsi="宋体;SimSun" w:cs="宋体;SimSun"/>
          <w:szCs w:val="32"/>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本条例自发布之日起施行。</w:t>
      </w:r>
    </w:p>
    <w:p>
      <w:pPr>
        <w:pStyle w:val="Normal"/>
        <w:rPr>
          <w:rFonts w:ascii="宋体;SimSun" w:hAnsi="宋体;SimSun" w:cs="宋体;SimSun"/>
          <w:szCs w:val="32"/>
        </w:rPr>
      </w:pPr>
      <w:r>
        <w:rPr>
          <w:rFonts w:cs="宋体;SimSun" w:ascii="宋体;SimSun" w:hAnsi="宋体;SimSun"/>
          <w:szCs w:val="32"/>
        </w:rPr>
      </w:r>
    </w:p>
    <w:sectPr>
      <w:footerReference w:type="even" r:id="rId2"/>
      <w:footerReference w:type="default" r:id="rId3"/>
      <w:footerReference w:type="first" r:id="rId4"/>
      <w:type w:val="nextPage"/>
      <w:pgSz w:w="11906" w:h="16838"/>
      <w:pgMar w:left="1588" w:right="1474" w:gutter="0" w:header="0" w:top="2098" w:footer="1701" w:bottom="1985"/>
      <w:pgNumType w:start="0" w:fmt="decimal"/>
      <w:formProt w:val="false"/>
      <w:titlePg/>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3</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2017-12-28T17:32:00Z</dcterms:created>
  <dc:creator>匿名用户</dc:creator>
  <dc:description/>
  <cp:keywords/>
  <dc:language>en-US</dc:language>
  <cp:lastModifiedBy>Byron Jack</cp:lastModifiedBy>
  <cp:lastPrinted>2017-12-26T14:41:00Z</cp:lastPrinted>
  <dcterms:modified xsi:type="dcterms:W3CDTF">2017-12-28T17:32:00Z</dcterms:modified>
  <cp:revision>2</cp:revision>
  <dc:subject/>
  <dc:title>湖北省劳动力市场管理条例</dc:title>
</cp:coreProperties>
</file>