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关于资源税具体适用税率标准、计征方式</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及免征减征办法的决定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促进资源节约集约利用、加强生态环境保护，根据《中华人民共和国资源税法》（以下简称资源税法），综合考虑本省应税资源的品位、开采条件以及对生态环境的影响等实际情况，对资源税具体适用税率、计征方式及免征减征具体办法决定如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一、按照资源税法规定实行幅度税率的资源税税目，其征税对象为原矿或者选矿的，具体适用税率按照《湖北省资源税税目税率表》（附后）执行。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二、资源税法规定可以选择实行从价计征或者从量计征的六个资源税税目：砂石、石灰岩、天然卤水资源税实行从价计征；地热、矿泉水、其他粘土资源税实行从量计征。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三、符合资源税法第七条规定情形的，按照下列办法免征或者减征资源税：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（一）纳税人开采或者生产应税产品过程中，因意外事故或者自然灾害等原因遭受重大损失的，由县级人民政府提出具体减免税意见，报省人民政府决定。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（二）纳税人开采共伴生矿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共伴生矿与主矿产品销售额分开核算的，对共伴生矿暂不计征资源税。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（三）纳税人开采尾矿，免征资源税。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符合上述规定的纳税人，自行申报享受税收优惠政策，并将相关材料留存备查。意外事故、自然灾害由省人民政府应急管理部门认定，共伴生矿由设区的市、自治州人民政府自然资源部门认定，尾矿由设区的市、自治州人民政府应急管理部门认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税务机关与自然资源、应急管理等相关部门应当建立工作配合机制。税务机关定期向同级自然资源、应急管理部门提供纳税人享受共伴生矿、尾矿等税收减免情况，自然资源、应急管理部门在税务机关送达书面函件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个工作日内给予回复。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附件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湖北省资源税税目税率表</w:t>
      </w:r>
    </w:p>
    <w:p>
      <w:pPr>
        <w:pStyle w:val="Normal"/>
        <w:keepNext w:val="false"/>
        <w:keepLines w:val="false"/>
        <w:pageBreakBefore w:val="false"/>
        <w:widowControl w:val="false"/>
        <w:kinsoku w:val="true"/>
        <w:overflowPunct w:val="true"/>
        <w:autoSpaceDE w:val="true"/>
        <w:bidi w:val="0"/>
        <w:snapToGrid w:val="true"/>
        <w:spacing w:lineRule="exact" w:line="240"/>
        <w:ind w:firstLineChars="0" w:firstLine="0" w:startChars="0" w:start="0" w:endChars="0" w:end="0"/>
        <w:jc w:val="center"/>
        <w:textAlignment w:val="auto"/>
        <w:rPr>
          <w:rFonts w:ascii="宋体" w:hAnsi="宋体" w:eastAsia="宋体" w:cs="宋体" w:hint="eastAsia"/>
          <w:spacing w:val="-3"/>
          <w:sz w:val="32"/>
          <w:szCs w:val="32"/>
        </w:rPr>
      </w:pPr>
      <w:r>
        <w:rPr>
          <w:rFonts w:eastAsia="宋体" w:cs="宋体" w:hint="eastAsia" w:ascii="宋体" w:hAnsi="宋体"/>
          <w:spacing w:val="-3"/>
          <w:sz w:val="32"/>
          <w:szCs w:val="32"/>
        </w:rPr>
      </w:r>
    </w:p>
    <w:tbl>
      <w:tblPr>
        <w:tblW w:w="8784" w:type="dxa"/>
        <w:jc w:val="center"/>
        <w:tblInd w:w="0" w:type="dxa"/>
        <w:tblLayout w:type="fixed"/>
        <w:tblCellMar>
          <w:top w:w="15" w:type="dxa"/>
          <w:start w:w="15" w:type="dxa"/>
          <w:bottom w:w="0" w:type="dxa"/>
          <w:end w:w="15" w:type="dxa"/>
        </w:tblCellMar>
      </w:tblPr>
      <w:tblGrid>
        <w:gridCol w:w="642"/>
        <w:gridCol w:w="1368"/>
        <w:gridCol w:w="1200"/>
        <w:gridCol w:w="2813"/>
        <w:gridCol w:w="1380"/>
        <w:gridCol w:w="1381"/>
      </w:tblGrid>
      <w:tr>
        <w:trPr>
          <w:trHeight w:val="318" w:hRule="atLeast"/>
        </w:trPr>
        <w:tc>
          <w:tcPr>
            <w:tcW w:w="6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黑体" w:hAnsi="黑体" w:eastAsia="黑体" w:cs="黑体" w:hint="eastAsia"/>
                <w:color w:val="000000"/>
                <w:sz w:val="24"/>
              </w:rPr>
            </w:pPr>
            <w:r>
              <w:rPr>
                <w:rFonts w:ascii="黑体" w:hAnsi="黑体" w:cs="黑体" w:hint="eastAsia" w:eastAsia="黑体"/>
                <w:color w:val="000000"/>
                <w:kern w:val="0"/>
                <w:sz w:val="24"/>
                <w:lang w:bidi="ar"/>
              </w:rPr>
              <w:t>序号</w:t>
            </w:r>
          </w:p>
        </w:tc>
        <w:tc>
          <w:tcPr>
            <w:tcW w:w="5381" w:type="dxa"/>
            <w:gridSpan w:val="3"/>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黑体" w:hAnsi="黑体" w:eastAsia="黑体" w:cs="黑体" w:hint="eastAsia"/>
                <w:color w:val="000000"/>
                <w:sz w:val="24"/>
              </w:rPr>
            </w:pPr>
            <w:r>
              <w:rPr>
                <w:rFonts w:ascii="黑体" w:hAnsi="黑体" w:cs="黑体" w:hint="eastAsia" w:eastAsia="黑体"/>
                <w:color w:val="000000"/>
                <w:kern w:val="0"/>
                <w:sz w:val="24"/>
                <w:lang w:bidi="ar"/>
              </w:rPr>
              <w:t>税   目</w:t>
            </w:r>
          </w:p>
        </w:tc>
        <w:tc>
          <w:tcPr>
            <w:tcW w:w="276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黑体" w:hAnsi="黑体" w:eastAsia="黑体" w:cs="黑体" w:hint="eastAsia"/>
                <w:color w:val="000000"/>
                <w:sz w:val="24"/>
              </w:rPr>
            </w:pPr>
            <w:r>
              <w:rPr>
                <w:rFonts w:ascii="黑体" w:hAnsi="黑体" w:cs="黑体" w:hint="eastAsia" w:eastAsia="黑体"/>
                <w:color w:val="000000"/>
                <w:kern w:val="0"/>
                <w:sz w:val="24"/>
                <w:lang w:bidi="ar"/>
              </w:rPr>
              <w:t>税率</w:t>
            </w:r>
          </w:p>
        </w:tc>
      </w:tr>
      <w:tr>
        <w:trPr>
          <w:trHeight w:val="308" w:hRule="atLeast"/>
        </w:trPr>
        <w:tc>
          <w:tcPr>
            <w:tcW w:w="64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黑体" w:hAnsi="黑体" w:eastAsia="黑体" w:cs="黑体" w:hint="eastAsia"/>
                <w:color w:val="000000"/>
                <w:sz w:val="24"/>
              </w:rPr>
            </w:pPr>
            <w:r>
              <w:rPr>
                <w:rFonts w:eastAsia="黑体" w:cs="黑体" w:hint="eastAsia" w:ascii="黑体" w:hAnsi="黑体"/>
                <w:color w:val="000000"/>
                <w:sz w:val="24"/>
              </w:rPr>
            </w:r>
          </w:p>
        </w:tc>
        <w:tc>
          <w:tcPr>
            <w:tcW w:w="5381" w:type="dxa"/>
            <w:gridSpan w:val="3"/>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黑体" w:hAnsi="黑体" w:eastAsia="黑体" w:cs="黑体" w:hint="eastAsia"/>
                <w:color w:val="000000"/>
                <w:sz w:val="24"/>
              </w:rPr>
            </w:pPr>
            <w:r>
              <w:rPr>
                <w:rFonts w:eastAsia="黑体" w:cs="黑体" w:hint="eastAsia" w:ascii="黑体" w:hAnsi="黑体"/>
                <w:color w:val="000000"/>
                <w:sz w:val="24"/>
              </w:rPr>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黑体" w:hAnsi="黑体" w:eastAsia="黑体" w:cs="黑体" w:hint="eastAsia"/>
                <w:color w:val="000000"/>
                <w:sz w:val="24"/>
              </w:rPr>
            </w:pPr>
            <w:r>
              <w:rPr>
                <w:rFonts w:ascii="黑体" w:hAnsi="黑体" w:cs="黑体" w:hint="eastAsia" w:eastAsia="黑体"/>
                <w:color w:val="000000"/>
                <w:kern w:val="0"/>
                <w:sz w:val="24"/>
                <w:lang w:bidi="ar"/>
              </w:rPr>
              <w:t>原矿</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黑体" w:hAnsi="黑体" w:eastAsia="黑体" w:cs="黑体" w:hint="eastAsia"/>
                <w:color w:val="000000"/>
                <w:sz w:val="24"/>
              </w:rPr>
            </w:pPr>
            <w:r>
              <w:rPr>
                <w:rFonts w:ascii="黑体" w:hAnsi="黑体" w:cs="黑体" w:hint="eastAsia" w:eastAsia="黑体"/>
                <w:color w:val="000000"/>
                <w:kern w:val="0"/>
                <w:sz w:val="24"/>
                <w:lang w:bidi="ar"/>
              </w:rPr>
              <w:t>选矿</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w:t>
            </w:r>
          </w:p>
        </w:tc>
        <w:tc>
          <w:tcPr>
            <w:tcW w:w="2568"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能源矿产</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煤</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2568"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石煤</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2568"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地热</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r>
              <w:rPr>
                <w:rFonts w:ascii="仿宋_GB2312" w:hAnsi="仿宋_GB2312" w:cs="仿宋_GB2312" w:hint="eastAsia" w:eastAsia="仿宋_GB2312"/>
                <w:color w:val="000000"/>
                <w:kern w:val="0"/>
                <w:sz w:val="24"/>
                <w:lang w:bidi="ar"/>
              </w:rPr>
              <w:t>元</w:t>
            </w:r>
            <w:r>
              <w:rPr>
                <w:rFonts w:eastAsia="仿宋_GB2312" w:cs="仿宋_GB2312" w:hint="eastAsia" w:ascii="仿宋_GB2312" w:hAnsi="仿宋_GB2312"/>
                <w:color w:val="000000"/>
                <w:kern w:val="0"/>
                <w:sz w:val="24"/>
                <w:lang w:bidi="ar"/>
              </w:rPr>
              <w:t>/</w:t>
            </w:r>
            <w:r>
              <w:rPr>
                <w:rFonts w:ascii="仿宋_GB2312" w:hAnsi="仿宋_GB2312" w:cs="仿宋_GB2312" w:hint="eastAsia" w:eastAsia="仿宋_GB2312"/>
                <w:color w:val="000000"/>
                <w:kern w:val="0"/>
                <w:sz w:val="24"/>
                <w:lang w:bidi="ar"/>
              </w:rPr>
              <w:t>立方米</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68"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金属矿产</w:t>
            </w:r>
          </w:p>
        </w:tc>
        <w:tc>
          <w:tcPr>
            <w:tcW w:w="12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黑色金属</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铁</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锰</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铬</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钒</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钛</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有色金属</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铜</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铅</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锌</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锡</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镍</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锑</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镁</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钴</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汞</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铝土矿</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金</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银</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轻稀土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锂</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锆</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锶</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铷</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铯</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铌</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钽</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锗</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镓</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67" w:hRule="atLeast"/>
        </w:trPr>
        <w:tc>
          <w:tcPr>
            <w:tcW w:w="642"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序号</w:t>
            </w:r>
          </w:p>
        </w:tc>
        <w:tc>
          <w:tcPr>
            <w:tcW w:w="5381" w:type="dxa"/>
            <w:gridSpan w:val="3"/>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税   目</w:t>
            </w:r>
          </w:p>
        </w:tc>
        <w:tc>
          <w:tcPr>
            <w:tcW w:w="276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税率</w:t>
            </w:r>
          </w:p>
        </w:tc>
      </w:tr>
      <w:tr>
        <w:trPr>
          <w:trHeight w:val="349" w:hRule="atLeast"/>
        </w:trPr>
        <w:tc>
          <w:tcPr>
            <w:tcW w:w="642"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textAlignment w:val="center"/>
              <w:rPr>
                <w:rFonts w:ascii="仿宋_GB2312" w:hAnsi="仿宋_GB2312" w:eastAsia="仿宋_GB2312" w:cs="仿宋_GB2312" w:hint="eastAsia"/>
                <w:color w:val="000000"/>
                <w:kern w:val="0"/>
                <w:sz w:val="24"/>
                <w:lang w:bidi="ar"/>
              </w:rPr>
            </w:pPr>
            <w:r>
              <w:rPr>
                <w:rFonts w:eastAsia="仿宋_GB2312" w:cs="仿宋_GB2312" w:hint="eastAsia" w:ascii="仿宋_GB2312" w:hAnsi="仿宋_GB2312"/>
                <w:color w:val="000000"/>
                <w:kern w:val="0"/>
                <w:sz w:val="24"/>
                <w:lang w:bidi="ar"/>
              </w:rPr>
            </w:r>
          </w:p>
        </w:tc>
        <w:tc>
          <w:tcPr>
            <w:tcW w:w="5381" w:type="dxa"/>
            <w:gridSpan w:val="3"/>
            <w:vMerge w:val="continue"/>
            <w:tcBorders>
              <w:top w:val="single" w:sz="4" w:space="0" w:color="000000"/>
              <w:start w:val="single" w:sz="4" w:space="0" w:color="000000"/>
              <w:end w:val="single" w:sz="4" w:space="0" w:color="000000"/>
            </w:tcBorders>
            <w:vAlign w:val="center"/>
          </w:tcPr>
          <w:p>
            <w:pPr>
              <w:pStyle w:val="Normal"/>
              <w:widowControl/>
              <w:snapToGrid w:val="false"/>
              <w:jc w:val="center"/>
              <w:textAlignment w:val="center"/>
              <w:rPr>
                <w:rFonts w:ascii="仿宋_GB2312" w:hAnsi="仿宋_GB2312" w:eastAsia="仿宋_GB2312" w:cs="仿宋_GB2312" w:hint="eastAsia"/>
                <w:color w:val="000000"/>
                <w:kern w:val="0"/>
                <w:sz w:val="24"/>
                <w:lang w:bidi="ar"/>
              </w:rPr>
            </w:pPr>
            <w:r>
              <w:rPr>
                <w:rFonts w:eastAsia="仿宋_GB2312" w:cs="仿宋_GB2312" w:hint="eastAsia" w:ascii="仿宋_GB2312" w:hAnsi="仿宋_GB2312"/>
                <w:color w:val="000000"/>
                <w:kern w:val="0"/>
                <w:sz w:val="24"/>
                <w:lang w:bidi="ar"/>
              </w:rPr>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原矿</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选矿</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31</w:t>
            </w:r>
          </w:p>
        </w:tc>
        <w:tc>
          <w:tcPr>
            <w:tcW w:w="1368" w:type="dxa"/>
            <w:vMerge w:val="restart"/>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restart"/>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铊</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铼</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镉</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硒</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碲</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36</w:t>
            </w:r>
          </w:p>
        </w:tc>
        <w:tc>
          <w:tcPr>
            <w:tcW w:w="1368"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非金属矿产</w:t>
            </w:r>
          </w:p>
        </w:tc>
        <w:tc>
          <w:tcPr>
            <w:tcW w:w="1200"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矿物类</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高岭土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1.5%</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石灰岩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5.5%</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磷</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石墨</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萤石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硫铁矿</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天然石英砂</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脉石英</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水晶</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长石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滑石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芒硝</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硼</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碘</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溴</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膨润土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10%</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9%</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陶瓷土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耐火粘土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累托石粘土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硅灰石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透辉石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云母</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重晶石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方解石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沸石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蛭石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透闪石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工业用电气石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石榴子石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石膏</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序号</w:t>
            </w:r>
          </w:p>
        </w:tc>
        <w:tc>
          <w:tcPr>
            <w:tcW w:w="5381" w:type="dxa"/>
            <w:gridSpan w:val="3"/>
            <w:vMerge w:val="restart"/>
            <w:tcBorders>
              <w:top w:val="single" w:sz="4" w:space="0" w:color="000000"/>
              <w:start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税   目</w:t>
            </w:r>
          </w:p>
        </w:tc>
        <w:tc>
          <w:tcPr>
            <w:tcW w:w="276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税率</w:t>
            </w:r>
          </w:p>
        </w:tc>
      </w:tr>
      <w:tr>
        <w:trPr>
          <w:trHeight w:val="306" w:hRule="atLeast"/>
        </w:trPr>
        <w:tc>
          <w:tcPr>
            <w:tcW w:w="642"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textAlignment w:val="center"/>
              <w:rPr>
                <w:rFonts w:ascii="仿宋_GB2312" w:hAnsi="仿宋_GB2312" w:eastAsia="仿宋_GB2312" w:cs="仿宋_GB2312" w:hint="eastAsia"/>
                <w:color w:val="000000"/>
                <w:kern w:val="0"/>
                <w:sz w:val="24"/>
                <w:lang w:bidi="ar"/>
              </w:rPr>
            </w:pPr>
            <w:r>
              <w:rPr>
                <w:rFonts w:eastAsia="仿宋_GB2312" w:cs="仿宋_GB2312" w:hint="eastAsia" w:ascii="仿宋_GB2312" w:hAnsi="仿宋_GB2312"/>
                <w:color w:val="000000"/>
                <w:kern w:val="0"/>
                <w:sz w:val="24"/>
                <w:lang w:bidi="ar"/>
              </w:rPr>
            </w:r>
          </w:p>
        </w:tc>
        <w:tc>
          <w:tcPr>
            <w:tcW w:w="5381" w:type="dxa"/>
            <w:gridSpan w:val="3"/>
            <w:vMerge w:val="continue"/>
            <w:tcBorders>
              <w:top w:val="single" w:sz="4" w:space="0" w:color="000000"/>
              <w:start w:val="single" w:sz="4" w:space="0" w:color="000000"/>
              <w:end w:val="single" w:sz="4" w:space="0" w:color="000000"/>
            </w:tcBorders>
            <w:vAlign w:val="center"/>
          </w:tcPr>
          <w:p>
            <w:pPr>
              <w:pStyle w:val="Normal"/>
              <w:widowControl/>
              <w:snapToGrid w:val="false"/>
              <w:jc w:val="center"/>
              <w:textAlignment w:val="center"/>
              <w:rPr>
                <w:rFonts w:ascii="仿宋_GB2312" w:hAnsi="仿宋_GB2312" w:eastAsia="仿宋_GB2312" w:cs="仿宋_GB2312" w:hint="eastAsia"/>
                <w:color w:val="000000"/>
                <w:kern w:val="0"/>
                <w:sz w:val="24"/>
                <w:lang w:bidi="ar"/>
              </w:rPr>
            </w:pPr>
            <w:r>
              <w:rPr>
                <w:rFonts w:eastAsia="仿宋_GB2312" w:cs="仿宋_GB2312" w:hint="eastAsia" w:ascii="仿宋_GB2312" w:hAnsi="仿宋_GB2312"/>
                <w:color w:val="000000"/>
                <w:kern w:val="0"/>
                <w:sz w:val="24"/>
                <w:lang w:bidi="ar"/>
              </w:rPr>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原矿</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kern w:val="0"/>
                <w:sz w:val="24"/>
                <w:lang w:bidi="ar"/>
              </w:rPr>
            </w:pPr>
            <w:r>
              <w:rPr>
                <w:rFonts w:ascii="黑体" w:hAnsi="黑体" w:cs="黑体" w:hint="eastAsia" w:eastAsia="黑体"/>
                <w:color w:val="000000"/>
                <w:kern w:val="0"/>
                <w:sz w:val="24"/>
                <w:lang w:bidi="ar"/>
              </w:rPr>
              <w:t>选矿</w:t>
            </w:r>
          </w:p>
        </w:tc>
      </w:tr>
      <w:tr>
        <w:trPr>
          <w:trHeight w:val="1787"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66</w:t>
            </w:r>
          </w:p>
        </w:tc>
        <w:tc>
          <w:tcPr>
            <w:tcW w:w="1368" w:type="dxa"/>
            <w:vMerge w:val="restart"/>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both"/>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其他粘土（铸型用粘土、砖瓦用粘土、陶料用粘土、水泥配料用红土、水泥配料用黄土、水泥配料用泥岩、保温材料用粘土）</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r>
              <w:rPr>
                <w:rFonts w:ascii="仿宋_GB2312" w:hAnsi="仿宋_GB2312" w:cs="仿宋_GB2312" w:hint="eastAsia" w:eastAsia="仿宋_GB2312"/>
                <w:color w:val="000000"/>
                <w:kern w:val="0"/>
                <w:sz w:val="24"/>
                <w:lang w:bidi="ar"/>
              </w:rPr>
              <w:t>元</w:t>
            </w:r>
            <w:r>
              <w:rPr>
                <w:rFonts w:eastAsia="仿宋_GB2312" w:cs="仿宋_GB2312" w:hint="eastAsia" w:ascii="仿宋_GB2312" w:hAnsi="仿宋_GB2312"/>
                <w:color w:val="000000"/>
                <w:kern w:val="0"/>
                <w:sz w:val="24"/>
                <w:lang w:bidi="ar"/>
              </w:rPr>
              <w:t>/</w:t>
            </w:r>
            <w:r>
              <w:rPr>
                <w:rFonts w:ascii="仿宋_GB2312" w:hAnsi="仿宋_GB2312" w:cs="仿宋_GB2312" w:hint="eastAsia" w:eastAsia="仿宋_GB2312"/>
                <w:color w:val="000000"/>
                <w:kern w:val="0"/>
                <w:sz w:val="24"/>
                <w:lang w:bidi="ar"/>
              </w:rPr>
              <w:t>立方米</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r>
              <w:rPr>
                <w:rFonts w:ascii="仿宋_GB2312" w:hAnsi="仿宋_GB2312" w:cs="仿宋_GB2312" w:hint="eastAsia" w:eastAsia="仿宋_GB2312"/>
                <w:color w:val="000000"/>
                <w:kern w:val="0"/>
                <w:sz w:val="24"/>
                <w:lang w:bidi="ar"/>
              </w:rPr>
              <w:t>元</w:t>
            </w:r>
            <w:r>
              <w:rPr>
                <w:rFonts w:eastAsia="仿宋_GB2312" w:cs="仿宋_GB2312" w:hint="eastAsia" w:ascii="仿宋_GB2312" w:hAnsi="仿宋_GB2312"/>
                <w:color w:val="000000"/>
                <w:kern w:val="0"/>
                <w:sz w:val="24"/>
                <w:lang w:bidi="ar"/>
              </w:rPr>
              <w:t>/</w:t>
            </w:r>
            <w:r>
              <w:rPr>
                <w:rFonts w:ascii="仿宋_GB2312" w:hAnsi="仿宋_GB2312" w:cs="仿宋_GB2312" w:hint="eastAsia" w:eastAsia="仿宋_GB2312"/>
                <w:color w:val="000000"/>
                <w:kern w:val="0"/>
                <w:sz w:val="24"/>
                <w:lang w:bidi="ar"/>
              </w:rPr>
              <w:t>立方米</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岩石类</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大理岩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花岗岩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5%</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69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白云岩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石英岩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砂岩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辉绿岩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安山岩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闪长岩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板岩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玄武岩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片麻岩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角闪岩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79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页岩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80</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含钾岩石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81</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凝灰岩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82</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蛇纹岩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83</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泥灰岩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84</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含钾砂页岩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85</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橄榄岩</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86</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泥炭</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3%</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87</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砂石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88</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宝玉石类</w:t>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玉石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89</w:t>
            </w:r>
          </w:p>
        </w:tc>
        <w:tc>
          <w:tcPr>
            <w:tcW w:w="1368" w:type="dxa"/>
            <w:vMerge w:val="continue"/>
            <w:tcBorders>
              <w:top w:val="single" w:sz="4" w:space="0" w:color="000000"/>
              <w:start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12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281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宝石</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8%</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2.5%</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90</w:t>
            </w:r>
          </w:p>
        </w:tc>
        <w:tc>
          <w:tcPr>
            <w:tcW w:w="136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水气矿产</w:t>
            </w:r>
          </w:p>
        </w:tc>
        <w:tc>
          <w:tcPr>
            <w:tcW w:w="401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矿泉水</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2</w:t>
            </w:r>
            <w:r>
              <w:rPr>
                <w:rFonts w:ascii="仿宋_GB2312" w:hAnsi="仿宋_GB2312" w:cs="仿宋_GB2312" w:hint="eastAsia" w:eastAsia="仿宋_GB2312"/>
                <w:color w:val="000000"/>
                <w:kern w:val="0"/>
                <w:sz w:val="24"/>
                <w:lang w:bidi="ar"/>
              </w:rPr>
              <w:t>元</w:t>
            </w:r>
            <w:r>
              <w:rPr>
                <w:rFonts w:eastAsia="仿宋_GB2312" w:cs="仿宋_GB2312" w:hint="eastAsia" w:ascii="仿宋_GB2312" w:hAnsi="仿宋_GB2312"/>
                <w:color w:val="000000"/>
                <w:kern w:val="0"/>
                <w:sz w:val="24"/>
                <w:lang w:bidi="ar"/>
              </w:rPr>
              <w:t>/</w:t>
            </w:r>
            <w:r>
              <w:rPr>
                <w:rFonts w:ascii="仿宋_GB2312" w:hAnsi="仿宋_GB2312" w:cs="仿宋_GB2312" w:hint="eastAsia" w:eastAsia="仿宋_GB2312"/>
                <w:color w:val="000000"/>
                <w:kern w:val="0"/>
                <w:sz w:val="24"/>
                <w:lang w:bidi="ar"/>
              </w:rPr>
              <w:t>立方米</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91</w:t>
            </w:r>
          </w:p>
        </w:tc>
        <w:tc>
          <w:tcPr>
            <w:tcW w:w="13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盐</w:t>
            </w:r>
          </w:p>
        </w:tc>
        <w:tc>
          <w:tcPr>
            <w:tcW w:w="401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钠盐</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r>
      <w:tr>
        <w:trPr>
          <w:trHeight w:val="306" w:hRule="atLeast"/>
        </w:trPr>
        <w:tc>
          <w:tcPr>
            <w:tcW w:w="64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92</w:t>
            </w:r>
          </w:p>
        </w:tc>
        <w:tc>
          <w:tcPr>
            <w:tcW w:w="13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sz w:val="24"/>
              </w:rPr>
            </w:r>
          </w:p>
        </w:tc>
        <w:tc>
          <w:tcPr>
            <w:tcW w:w="4013"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ascii="仿宋_GB2312" w:hAnsi="仿宋_GB2312" w:cs="仿宋_GB2312" w:hint="eastAsia" w:eastAsia="仿宋_GB2312"/>
                <w:color w:val="000000"/>
                <w:kern w:val="0"/>
                <w:sz w:val="24"/>
                <w:lang w:bidi="ar"/>
              </w:rPr>
              <w:t>天然卤水</w:t>
            </w:r>
          </w:p>
        </w:tc>
        <w:tc>
          <w:tcPr>
            <w:tcW w:w="138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4%</w:t>
            </w:r>
          </w:p>
        </w:tc>
        <w:tc>
          <w:tcPr>
            <w:tcW w:w="138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仿宋_GB2312" w:hAnsi="仿宋_GB2312" w:eastAsia="仿宋_GB2312" w:cs="仿宋_GB2312" w:hint="eastAsia"/>
                <w:color w:val="000000"/>
                <w:sz w:val="24"/>
              </w:rPr>
            </w:pPr>
            <w:r>
              <w:rPr>
                <w:rFonts w:eastAsia="仿宋_GB2312" w:cs="仿宋_GB2312" w:hint="eastAsia" w:ascii="仿宋_GB2312" w:hAnsi="仿宋_GB2312"/>
                <w:color w:val="000000"/>
                <w:kern w:val="0"/>
                <w:sz w:val="24"/>
                <w:lang w:bidi="ar"/>
              </w:rPr>
              <w:t>/</w:t>
            </w:r>
          </w:p>
        </w:tc>
      </w:tr>
    </w:tbl>
    <w:p>
      <w:pPr>
        <w:pStyle w:val="Normal"/>
        <w:spacing w:lineRule="auto" w:line="240"/>
        <w:rPr>
          <w:rFonts w:ascii="仿宋_GB2312" w:hAnsi="仿宋_GB2312" w:eastAsia="仿宋_GB2312" w:cs="仿宋_GB2312" w:hint="eastAsia"/>
          <w:spacing w:val="-3"/>
          <w:sz w:val="24"/>
          <w:szCs w:val="24"/>
        </w:rPr>
      </w:pPr>
      <w:r>
        <w:rPr>
          <w:rFonts w:ascii="仿宋_GB2312" w:hAnsi="仿宋_GB2312" w:cs="仿宋_GB2312" w:hint="eastAsia" w:eastAsia="仿宋_GB2312"/>
          <w:spacing w:val="-3"/>
          <w:sz w:val="24"/>
          <w:szCs w:val="24"/>
        </w:rPr>
        <w:t>备注：</w:t>
      </w:r>
      <w:r>
        <w:rPr>
          <w:rFonts w:eastAsia="仿宋_GB2312" w:cs="仿宋_GB2312" w:hint="eastAsia" w:ascii="仿宋_GB2312" w:hAnsi="仿宋_GB2312"/>
          <w:spacing w:val="-3"/>
          <w:sz w:val="24"/>
          <w:szCs w:val="24"/>
        </w:rPr>
        <w:t>1.</w:t>
      </w:r>
      <w:r>
        <w:rPr>
          <w:rFonts w:ascii="仿宋_GB2312" w:hAnsi="仿宋_GB2312" w:cs="仿宋_GB2312" w:hint="eastAsia" w:eastAsia="仿宋_GB2312"/>
          <w:spacing w:val="-3"/>
          <w:sz w:val="24"/>
          <w:szCs w:val="24"/>
        </w:rPr>
        <w:t>根据《中华人民共和国资源税法》规定，除上述</w:t>
      </w:r>
      <w:r>
        <w:rPr>
          <w:rFonts w:eastAsia="仿宋_GB2312" w:cs="仿宋_GB2312" w:hint="eastAsia" w:ascii="仿宋_GB2312" w:hAnsi="仿宋_GB2312"/>
          <w:spacing w:val="-3"/>
          <w:sz w:val="24"/>
          <w:szCs w:val="24"/>
        </w:rPr>
        <w:t>92</w:t>
      </w:r>
      <w:r>
        <w:rPr>
          <w:rFonts w:ascii="仿宋_GB2312" w:hAnsi="仿宋_GB2312" w:cs="仿宋_GB2312" w:hint="eastAsia" w:eastAsia="仿宋_GB2312"/>
          <w:spacing w:val="-3"/>
          <w:sz w:val="24"/>
          <w:szCs w:val="24"/>
        </w:rPr>
        <w:t>个税目外，以下税目实行</w:t>
      </w:r>
    </w:p>
    <w:p>
      <w:pPr>
        <w:pStyle w:val="Normal"/>
        <w:spacing w:lineRule="auto" w:line="240"/>
        <w:rPr>
          <w:rFonts w:ascii="仿宋_GB2312" w:hAnsi="仿宋_GB2312" w:eastAsia="仿宋_GB2312" w:cs="仿宋_GB2312" w:hint="eastAsia"/>
          <w:spacing w:val="-3"/>
          <w:sz w:val="24"/>
          <w:szCs w:val="24"/>
        </w:rPr>
      </w:pPr>
      <w:r>
        <w:rPr>
          <w:rFonts w:eastAsia="仿宋_GB2312" w:cs="仿宋_GB2312" w:hint="eastAsia" w:ascii="仿宋_GB2312" w:hAnsi="仿宋_GB2312"/>
          <w:spacing w:val="-3"/>
          <w:sz w:val="24"/>
          <w:szCs w:val="24"/>
        </w:rPr>
        <w:t xml:space="preserve">        </w:t>
      </w:r>
      <w:r>
        <w:rPr>
          <w:rFonts w:ascii="仿宋_GB2312" w:hAnsi="仿宋_GB2312" w:cs="仿宋_GB2312" w:hint="eastAsia" w:eastAsia="仿宋_GB2312"/>
          <w:spacing w:val="-3"/>
          <w:sz w:val="24"/>
          <w:szCs w:val="24"/>
        </w:rPr>
        <w:t>全国统一的固定税率：原油，原矿</w:t>
      </w:r>
      <w:r>
        <w:rPr>
          <w:rFonts w:eastAsia="仿宋_GB2312" w:cs="仿宋_GB2312" w:hint="eastAsia" w:ascii="仿宋_GB2312" w:hAnsi="仿宋_GB2312"/>
          <w:spacing w:val="-3"/>
          <w:sz w:val="24"/>
          <w:szCs w:val="24"/>
        </w:rPr>
        <w:t>6%</w:t>
      </w:r>
      <w:r>
        <w:rPr>
          <w:rFonts w:ascii="仿宋_GB2312" w:hAnsi="仿宋_GB2312" w:cs="仿宋_GB2312" w:hint="eastAsia" w:eastAsia="仿宋_GB2312"/>
          <w:spacing w:val="-3"/>
          <w:sz w:val="24"/>
          <w:szCs w:val="24"/>
        </w:rPr>
        <w:t>；天然气、页岩气、天然水气合物，原矿</w:t>
      </w:r>
    </w:p>
    <w:p>
      <w:pPr>
        <w:pStyle w:val="Normal"/>
        <w:spacing w:lineRule="auto" w:line="240"/>
        <w:rPr>
          <w:rFonts w:ascii="仿宋_GB2312" w:hAnsi="仿宋_GB2312" w:eastAsia="仿宋_GB2312" w:cs="仿宋_GB2312" w:hint="eastAsia"/>
          <w:spacing w:val="-3"/>
          <w:sz w:val="24"/>
          <w:szCs w:val="24"/>
        </w:rPr>
      </w:pPr>
      <w:r>
        <w:rPr>
          <w:rFonts w:eastAsia="仿宋_GB2312" w:cs="仿宋_GB2312" w:hint="eastAsia" w:ascii="仿宋_GB2312" w:hAnsi="仿宋_GB2312"/>
          <w:spacing w:val="-3"/>
          <w:sz w:val="24"/>
          <w:szCs w:val="24"/>
        </w:rPr>
        <w:t xml:space="preserve">        </w:t>
      </w:r>
      <w:r>
        <w:rPr>
          <w:rFonts w:eastAsia="仿宋_GB2312" w:cs="仿宋_GB2312" w:hint="eastAsia" w:ascii="仿宋_GB2312" w:hAnsi="仿宋_GB2312"/>
          <w:spacing w:val="-3"/>
          <w:sz w:val="24"/>
          <w:szCs w:val="24"/>
        </w:rPr>
        <w:t>6%</w:t>
      </w:r>
      <w:r>
        <w:rPr>
          <w:rFonts w:ascii="仿宋_GB2312" w:hAnsi="仿宋_GB2312" w:cs="仿宋_GB2312" w:hint="eastAsia" w:eastAsia="仿宋_GB2312"/>
          <w:spacing w:val="-3"/>
          <w:sz w:val="24"/>
          <w:szCs w:val="24"/>
        </w:rPr>
        <w:t>；铀、钍，原矿</w:t>
      </w:r>
      <w:r>
        <w:rPr>
          <w:rFonts w:eastAsia="仿宋_GB2312" w:cs="仿宋_GB2312" w:hint="eastAsia" w:ascii="仿宋_GB2312" w:hAnsi="仿宋_GB2312"/>
          <w:spacing w:val="-3"/>
          <w:sz w:val="24"/>
          <w:szCs w:val="24"/>
        </w:rPr>
        <w:t>4%</w:t>
      </w:r>
      <w:r>
        <w:rPr>
          <w:rFonts w:ascii="仿宋_GB2312" w:hAnsi="仿宋_GB2312" w:cs="仿宋_GB2312" w:hint="eastAsia" w:eastAsia="仿宋_GB2312"/>
          <w:spacing w:val="-3"/>
          <w:sz w:val="24"/>
          <w:szCs w:val="24"/>
        </w:rPr>
        <w:t>；钨，选矿</w:t>
      </w:r>
      <w:r>
        <w:rPr>
          <w:rFonts w:eastAsia="仿宋_GB2312" w:cs="仿宋_GB2312" w:hint="eastAsia" w:ascii="仿宋_GB2312" w:hAnsi="仿宋_GB2312"/>
          <w:spacing w:val="-3"/>
          <w:sz w:val="24"/>
          <w:szCs w:val="24"/>
        </w:rPr>
        <w:t>6.5%</w:t>
      </w:r>
      <w:r>
        <w:rPr>
          <w:rFonts w:ascii="仿宋_GB2312" w:hAnsi="仿宋_GB2312" w:cs="仿宋_GB2312" w:hint="eastAsia" w:eastAsia="仿宋_GB2312"/>
          <w:spacing w:val="-3"/>
          <w:sz w:val="24"/>
          <w:szCs w:val="24"/>
        </w:rPr>
        <w:t>；钼，选矿</w:t>
      </w:r>
      <w:r>
        <w:rPr>
          <w:rFonts w:eastAsia="仿宋_GB2312" w:cs="仿宋_GB2312" w:hint="eastAsia" w:ascii="仿宋_GB2312" w:hAnsi="仿宋_GB2312"/>
          <w:spacing w:val="-3"/>
          <w:sz w:val="24"/>
          <w:szCs w:val="24"/>
        </w:rPr>
        <w:t>8%</w:t>
      </w:r>
      <w:r>
        <w:rPr>
          <w:rFonts w:ascii="仿宋_GB2312" w:hAnsi="仿宋_GB2312" w:cs="仿宋_GB2312" w:hint="eastAsia" w:eastAsia="仿宋_GB2312"/>
          <w:spacing w:val="-3"/>
          <w:sz w:val="24"/>
          <w:szCs w:val="24"/>
        </w:rPr>
        <w:t>；中重稀土，选矿</w:t>
      </w:r>
      <w:r>
        <w:rPr>
          <w:rFonts w:eastAsia="仿宋_GB2312" w:cs="仿宋_GB2312" w:hint="eastAsia" w:ascii="仿宋_GB2312" w:hAnsi="仿宋_GB2312"/>
          <w:spacing w:val="-3"/>
          <w:sz w:val="24"/>
          <w:szCs w:val="24"/>
        </w:rPr>
        <w:t>20%</w:t>
      </w:r>
      <w:r>
        <w:rPr>
          <w:rFonts w:ascii="仿宋_GB2312" w:hAnsi="仿宋_GB2312" w:cs="仿宋_GB2312" w:hint="eastAsia" w:eastAsia="仿宋_GB2312"/>
          <w:spacing w:val="-3"/>
          <w:sz w:val="24"/>
          <w:szCs w:val="24"/>
        </w:rPr>
        <w:t>。</w:t>
      </w:r>
    </w:p>
    <w:p>
      <w:pPr>
        <w:pStyle w:val="Normal"/>
        <w:spacing w:lineRule="auto" w:line="240"/>
        <w:rPr/>
      </w:pPr>
      <w:r>
        <w:rPr>
          <w:rFonts w:eastAsia="仿宋_GB2312" w:cs="仿宋_GB2312" w:hint="eastAsia" w:ascii="仿宋_GB2312" w:hAnsi="仿宋_GB2312"/>
          <w:spacing w:val="-3"/>
          <w:sz w:val="24"/>
          <w:szCs w:val="24"/>
        </w:rPr>
        <w:t xml:space="preserve">      </w:t>
      </w:r>
      <w:r>
        <w:rPr>
          <w:rFonts w:eastAsia="仿宋_GB2312" w:cs="仿宋_GB2312" w:hint="eastAsia" w:ascii="仿宋_GB2312" w:hAnsi="仿宋_GB2312"/>
          <w:spacing w:val="-3"/>
          <w:sz w:val="24"/>
          <w:szCs w:val="24"/>
        </w:rPr>
        <w:t>2.</w:t>
      </w:r>
      <w:r>
        <w:rPr>
          <w:rFonts w:ascii="仿宋_GB2312" w:hAnsi="仿宋_GB2312" w:cs="仿宋_GB2312" w:hint="eastAsia" w:eastAsia="仿宋_GB2312"/>
          <w:spacing w:val="-3"/>
          <w:sz w:val="24"/>
          <w:szCs w:val="24"/>
        </w:rPr>
        <w:t>根据矿产资源分类，我省出产的绿松石属于“宝玉石类——玉石”。</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2020-07-31T16:07:00Z</cp:lastPrinted>
  <dcterms:modified xsi:type="dcterms:W3CDTF">2020-08-18T14:58:20Z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