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rPr>
          <w:rFonts w:ascii="宋体;SimSun" w:hAnsi="宋体;SimSun" w:eastAsia="宋体;SimSun" w:cs="宋体;SimSun"/>
          <w:bCs/>
          <w:color w:val="000000"/>
          <w:szCs w:val="32"/>
          <w:lang w:val="zh-CN"/>
        </w:rPr>
      </w:pPr>
      <w:r>
        <w:rPr>
          <w:rFonts w:eastAsia="宋体;SimSun" w:cs="宋体;SimSun" w:ascii="宋体;SimSun" w:hAnsi="宋体;SimSun"/>
          <w:bCs/>
          <w:color w:val="000000"/>
          <w:szCs w:val="32"/>
          <w:lang w:val="zh-CN"/>
        </w:rPr>
      </w:r>
    </w:p>
    <w:p>
      <w:pPr>
        <w:pStyle w:val="Normal"/>
        <w:widowControl w:val="false"/>
        <w:spacing w:lineRule="exact" w:line="570"/>
        <w:jc w:val="center"/>
        <w:rPr>
          <w:rFonts w:ascii="宋体;SimSun" w:hAnsi="宋体;SimSun" w:eastAsia="宋体;SimSun" w:cs="宋体;SimSun" w:hint="eastAsia"/>
          <w:bCs/>
          <w:color w:val="000000"/>
          <w:sz w:val="44"/>
          <w:szCs w:val="44"/>
          <w:lang w:val="zh-CN"/>
        </w:rPr>
      </w:pPr>
      <w:r>
        <w:rPr>
          <w:rFonts w:ascii="宋体;SimSun" w:hAnsi="宋体;SimSun" w:cs="宋体;SimSun" w:hint="eastAsia" w:eastAsia="宋体;SimSun"/>
          <w:bCs/>
          <w:color w:val="000000"/>
          <w:sz w:val="44"/>
          <w:szCs w:val="44"/>
          <w:lang w:val="zh-CN"/>
        </w:rPr>
        <w:t>湖北省实施</w:t>
      </w:r>
    </w:p>
    <w:p>
      <w:pPr>
        <w:pStyle w:val="Normal"/>
        <w:widowControl w:val="false"/>
        <w:spacing w:lineRule="exact" w:line="570"/>
        <w:jc w:val="center"/>
        <w:rPr>
          <w:rFonts w:ascii="宋体;SimSun" w:hAnsi="宋体;SimSun" w:eastAsia="宋体;SimSun" w:cs="宋体;SimSun" w:hint="eastAsia"/>
          <w:bCs/>
          <w:color w:val="000000"/>
          <w:sz w:val="44"/>
          <w:szCs w:val="44"/>
          <w:lang w:val="zh-CN"/>
        </w:rPr>
      </w:pPr>
      <w:r>
        <w:rPr>
          <w:rFonts w:ascii="宋体;SimSun" w:hAnsi="宋体;SimSun" w:cs="宋体;SimSun" w:hint="eastAsia" w:eastAsia="宋体;SimSun"/>
          <w:bCs/>
          <w:color w:val="000000"/>
          <w:sz w:val="44"/>
          <w:szCs w:val="44"/>
          <w:lang w:val="zh-CN"/>
        </w:rPr>
        <w:t>《中华人民共和国广告法》办法</w:t>
      </w:r>
    </w:p>
    <w:p>
      <w:pPr>
        <w:pStyle w:val="Normal"/>
        <w:widowControl w:val="false"/>
        <w:spacing w:lineRule="exact" w:line="570"/>
        <w:rPr>
          <w:rFonts w:ascii="方正小标宋简体" w:hAnsi="方正小标宋简体" w:eastAsia="方正小标宋简体" w:cs="宋体;SimSun" w:hint="eastAsia"/>
          <w:bCs/>
          <w:color w:val="000000"/>
          <w:sz w:val="44"/>
          <w:szCs w:val="44"/>
          <w:lang w:val="zh-CN"/>
        </w:rPr>
      </w:pPr>
      <w:r>
        <w:rPr>
          <w:rFonts w:eastAsia="方正小标宋简体" w:cs="宋体;SimSun" w:hint="eastAsia" w:ascii="方正小标宋简体" w:hAnsi="方正小标宋简体"/>
          <w:bCs/>
          <w:color w:val="000000"/>
          <w:sz w:val="44"/>
          <w:szCs w:val="44"/>
          <w:lang w:val="zh-CN"/>
        </w:rPr>
      </w:r>
    </w:p>
    <w:p>
      <w:pPr>
        <w:pStyle w:val="Normal"/>
        <w:widowControl w:val="false"/>
        <w:spacing w:lineRule="exact" w:line="570"/>
        <w:ind w:start="640" w:end="640"/>
        <w:rPr>
          <w:rFonts w:ascii="楷体_GB2312" w:hAnsi="楷体_GB2312" w:eastAsia="楷体_GB2312" w:cs="楷体_GB2312"/>
          <w:bCs/>
          <w:color w:val="000000"/>
          <w:szCs w:val="32"/>
          <w:lang w:val="zh-CN"/>
        </w:rPr>
      </w:pPr>
      <w:r>
        <w:rPr>
          <w:rFonts w:ascii="楷体_GB2312" w:hAnsi="楷体_GB2312" w:cs="楷体_GB2312" w:hint="eastAsia" w:eastAsia="楷体_GB2312"/>
          <w:bCs/>
          <w:color w:val="000000"/>
          <w:szCs w:val="32"/>
          <w:lang w:val="zh-CN"/>
        </w:rPr>
        <w:t>（</w:t>
      </w:r>
      <w:r>
        <w:rPr>
          <w:rFonts w:eastAsia="楷体_GB2312" w:cs="楷体_GB2312" w:ascii="楷体_GB2312" w:hAnsi="楷体_GB2312"/>
          <w:bCs/>
          <w:color w:val="000000"/>
          <w:szCs w:val="32"/>
          <w:lang w:val="zh-CN"/>
        </w:rPr>
        <w:t>1997</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12</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3</w:t>
      </w:r>
      <w:r>
        <w:rPr>
          <w:rFonts w:ascii="楷体_GB2312" w:hAnsi="楷体_GB2312" w:cs="楷体_GB2312" w:hint="eastAsia" w:eastAsia="楷体_GB2312"/>
          <w:bCs/>
          <w:color w:val="000000"/>
          <w:szCs w:val="32"/>
          <w:lang w:val="zh-CN"/>
        </w:rPr>
        <w:t>日湖北省第八届人民代表大会常务委员会第三十一次会议通过</w:t>
      </w:r>
      <w:r>
        <w:rPr>
          <w:rFonts w:ascii="楷体_GB2312" w:hAnsi="楷体_GB2312" w:cs="楷体_GB2312" w:hint="eastAsia" w:eastAsia="楷体_GB2312"/>
          <w:bCs/>
          <w:color w:val="000000"/>
          <w:szCs w:val="32"/>
        </w:rPr>
        <w:t>　</w:t>
      </w:r>
      <w:r>
        <w:rPr>
          <w:rFonts w:ascii="楷体_GB2312" w:hAnsi="楷体_GB2312" w:cs="楷体_GB2312" w:hint="eastAsia" w:eastAsia="楷体_GB2312"/>
          <w:bCs/>
          <w:color w:val="000000"/>
          <w:szCs w:val="32"/>
          <w:lang w:val="zh-CN"/>
        </w:rPr>
        <w:t>根据</w:t>
      </w:r>
      <w:r>
        <w:rPr>
          <w:rFonts w:eastAsia="楷体_GB2312" w:cs="楷体_GB2312" w:ascii="楷体_GB2312" w:hAnsi="楷体_GB2312"/>
          <w:bCs/>
          <w:color w:val="000000"/>
          <w:szCs w:val="32"/>
          <w:lang w:val="zh-CN"/>
        </w:rPr>
        <w:t>2001</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5</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31</w:t>
      </w:r>
      <w:r>
        <w:rPr>
          <w:rFonts w:ascii="楷体_GB2312" w:hAnsi="楷体_GB2312" w:cs="楷体_GB2312" w:hint="eastAsia" w:eastAsia="楷体_GB2312"/>
          <w:bCs/>
          <w:color w:val="000000"/>
          <w:szCs w:val="32"/>
          <w:lang w:val="zh-CN"/>
        </w:rPr>
        <w:t>日湖北省第九届人民代表大会常务委员会第二十五次会议《关于修订我省部分地方性法规的决定》第一次修正  根据</w:t>
      </w:r>
      <w:r>
        <w:rPr>
          <w:rFonts w:eastAsia="楷体_GB2312" w:cs="楷体_GB2312" w:ascii="楷体_GB2312" w:hAnsi="楷体_GB2312"/>
          <w:bCs/>
          <w:color w:val="000000"/>
          <w:szCs w:val="32"/>
          <w:lang w:val="zh-CN"/>
        </w:rPr>
        <w:t>2014</w:t>
      </w:r>
      <w:r>
        <w:rPr>
          <w:rFonts w:ascii="楷体_GB2312" w:hAnsi="楷体_GB2312" w:cs="楷体_GB2312" w:hint="eastAsia" w:eastAsia="楷体_GB2312"/>
          <w:bCs/>
          <w:color w:val="000000"/>
          <w:szCs w:val="32"/>
          <w:lang w:val="zh-CN"/>
        </w:rPr>
        <w:t>年</w:t>
      </w:r>
      <w:r>
        <w:rPr>
          <w:rFonts w:eastAsia="楷体_GB2312" w:cs="楷体_GB2312" w:ascii="楷体_GB2312" w:hAnsi="楷体_GB2312"/>
          <w:bCs/>
          <w:color w:val="000000"/>
          <w:szCs w:val="32"/>
          <w:lang w:val="zh-CN"/>
        </w:rPr>
        <w:t>9</w:t>
      </w:r>
      <w:r>
        <w:rPr>
          <w:rFonts w:ascii="楷体_GB2312" w:hAnsi="楷体_GB2312" w:cs="楷体_GB2312" w:hint="eastAsia" w:eastAsia="楷体_GB2312"/>
          <w:bCs/>
          <w:color w:val="000000"/>
          <w:szCs w:val="32"/>
          <w:lang w:val="zh-CN"/>
        </w:rPr>
        <w:t>月</w:t>
      </w:r>
      <w:r>
        <w:rPr>
          <w:rFonts w:eastAsia="楷体_GB2312" w:cs="楷体_GB2312" w:ascii="楷体_GB2312" w:hAnsi="楷体_GB2312"/>
          <w:bCs/>
          <w:color w:val="000000"/>
          <w:szCs w:val="32"/>
          <w:lang w:val="zh-CN"/>
        </w:rPr>
        <w:t>25</w:t>
      </w:r>
      <w:r>
        <w:rPr>
          <w:rFonts w:ascii="楷体_GB2312" w:hAnsi="楷体_GB2312" w:cs="楷体_GB2312" w:hint="eastAsia" w:eastAsia="楷体_GB2312"/>
          <w:bCs/>
          <w:color w:val="000000"/>
          <w:szCs w:val="32"/>
          <w:lang w:val="zh-CN"/>
        </w:rPr>
        <w:t>日湖北省第十二届人民代表大会常务委员会第十一次会议《关于集中修改、废止部分省本级地方性法规的决定》第二次修正</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日湖北省第十二届人民代表大会常务委员会第三十一次会议《关于集中修改、废止部分省本级地方性法规的决定》第三次修正</w:t>
      </w:r>
      <w:r>
        <w:rPr>
          <w:rFonts w:ascii="楷体_GB2312" w:hAnsi="楷体_GB2312" w:cs="楷体_GB2312" w:hint="eastAsia" w:eastAsia="楷体_GB2312"/>
          <w:bCs/>
          <w:color w:val="000000"/>
          <w:szCs w:val="32"/>
          <w:lang w:val="zh-CN"/>
        </w:rPr>
        <w:t>）</w:t>
      </w:r>
    </w:p>
    <w:p>
      <w:pPr>
        <w:pStyle w:val="Normal"/>
        <w:widowControl w:val="false"/>
        <w:spacing w:lineRule="exact" w:line="570"/>
        <w:rPr>
          <w:rFonts w:ascii="宋体;SimSun" w:hAnsi="宋体;SimSun" w:eastAsia="楷体_GB2312" w:cs="宋体;SimSun"/>
          <w:bCs/>
          <w:color w:val="000000"/>
          <w:szCs w:val="32"/>
          <w:lang w:val="zh-CN"/>
        </w:rPr>
      </w:pPr>
      <w:r>
        <w:rPr>
          <w:rFonts w:eastAsia="楷体_GB2312" w:cs="宋体;SimSun" w:ascii="宋体;SimSun" w:hAnsi="宋体;SimSun"/>
          <w:bCs/>
          <w:color w:val="000000"/>
          <w:szCs w:val="32"/>
          <w:lang w:val="zh-CN"/>
        </w:rPr>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为了规范广告活动，促进广告业健康发展，发挥广告在社会主义市场经济中的积极作用，保护消费者和广告主、广告经营者、广告发布者的合法权益，根据《中华人民共和国广告法》和有关法律、法规，针对我省实际，制定本办法。</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本办法适用于本省行政区域内从事广告经营管理活动的单位和个人。</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本办法所称广告，是指商品经营者或者服务提供者承担费用，通过报刊、广播、电视、电影、印刷品、霓虹灯等媒介或者形式直接、间接介绍自己所推销的商品或者所提供的服务的商业广告。</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省人民政府工商行政管理部门是全省广告监督管理机关。市、州、县（区）人民政府工商行政管理部门负责对本行政区域内的广告活动进行监督管理。</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县级以上人民政府及其工商行政管理部门应当积极创造条件，逐步推行广告代理制，为广告业发展创造良好的外部环境。</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县级以上工商行政管理部门应会同有关部门制定公益广告规划；广告经营者、广告发布者每年应设计、制作、发布一定数量的公益广告。</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广告内容应真实、合法，符合社会主义精神文明建设的要求，不得欺骗和误导消费者。</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广告使用的图像、语言文字、汉语拼音、计量单位等应当符合国家有关规定。</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广告在总体设计、正文、标语、解说词、音乐等方面不得仿照他人的广告，使消费者产生误解。</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下列广告除遵守法律、法规规定外，还应当清楚、明白、完整载明有关事项：</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（一）推销商品、提供服务实行优惠和让利的广告，应当标明实行优惠、让利的时限、幅度和数额；</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（二）推销商品、提供服务附带赠送礼品的广告，属限量、限时赠送的，应当标明赠送的礼品总量和期限；</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（三）推销设备有专用附件的广告，应当同时标明该种设备必须购买的附件及价格；</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（四）推销种子、种苗的广告，应当标明适宜种植和养殖的地域范围和条件；</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（五）推销技术的广告，应当标明技术鉴定部门的名称及鉴定时间；</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（六）邮购商品广告、信息广告、转让技术广告应当在显著的位置标明广告主的真实姓名或者名称、详细地址、联系时间。邮购商品广告还应标明收到汇款后寄出邮购商品的时限；</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（七）广告使用科学发明等科研成果的，应当准确、恰当，并表明出处。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第九条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推销设备、种子、种苗和技术的广告，不得含有分析、预测利用该设备、种子、种苗和技术等所生产的产品市场供求情况和经济效果，以及欺骗性的包收购生产产品的承诺。</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法律、法规规定禁止发布广告的商品及服务，不得设计、制作和发布广告。</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大众传播媒介不得以新闻报道、调查采访的形式发布广告。通过大众传播媒介发布的广告应当有广告标记，与其他非广告信息相区别，不得使消费者产生误解。</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医疗广告不得含有下列内容：</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（一）含有不科学的表示功效的断言或者保证的；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（二）宣传治愈率、有效率等诊疗效果的；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（三）利用医药科研单位、学术机构、医疗机构或者专家、医生、患者的名义和形象作证明的；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（四）涉及药品、制剂的。</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广告主、广告经营者、广告发布者之间订立广告活动书面合同，必须使用工商行政管理部门统一制作的广告合同示范文本。</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广告经营者、广告发布者应当对广告内容进行审查。</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经批准发布的广告，除广播可以不播发广告批准文号外，其他应当同时发布广告批准文号；印刷品广告应在显著的位置印刷批准文号、承印者名称和地址。</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广告经营者、广告发布者应当建立广告档案管理制度，单独设置广告会计账簿，使用广告业专用发票。</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各级人民政府应加强对户外广告的组织管理，促进户外广告业的健康发展、美化城市环境。</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县级以上人民政府应当根据城市发展总体规划，组织工商、城建、交通、公安、土地等部门制定设置户外广告的具体规划。具体规划经本级人民政府批准后，由工商行政管理部门监督实施。</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设置户外广告，法律、法规规定须事先征求有关部门意见的，有关部门应自收到申请之日起七日内作出答复。</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户外广告应当做到整齐、安全、美观。</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经批准设置的户外广告，在有效期内，任何单位和个人不得擅自拆除、遮盖、损坏。确因城市建设需要拆除的，必须事先告知广告经营者，并按有关规定办理。</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修建户外广告设施需占用场地或者建筑物的，修建单位或者个人应征得场地、建筑物所有者和使用者同意，并交纳场地费或者建筑物占用费。场地费和建筑物占用费的收费标准，由省工商行政管理部门会同省物价、财政、城建部门协商制订，报省人民政府批准后执行。</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除法律、法规规定和经省人民政府批准外，任何单位和个人不得向广告经营者、广告发布者收取费用。</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第十九条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张贴印刷品广告应在工商行政管理部门确定的范围、地点进行，不得损害市容市貌。</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药品、医疗器械、农药、兽药广告，发布前必须经省有关行政主管部门审查；医疗、化妆品、农（林）作物种子、种苗、保健食品广告，发布前应经发布地县级以上有关行政主管部门审查。未经审查批准的，不得发布。</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食品、酒类广告的内容必须符合卫生许可的事项。</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第二十一条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行政主管部门依法对广告内容进行发布前审查，应自受理之日起七日内作出审查决定。法律、法规另有规定的，从其规定。</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经行政主管部门审定的广告内容，广告发布者不得修改；发现有错误的，应要求行政主管部门重新审查。</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第二十二条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工商行政管理部门对广告活动进行监督检查时，可以行使下列职权：</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（一）按照规定程序询问被检查的广告主、广告经营者、广告发布者及利害关系人，并要求提供证明材料或者与广告行为有关的其他资料；</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（二）查询、复制与广告行为有关的合同、账册、单据、文件、记录和其他资料；</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（三）复制与广告行为有关的广告作品。</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第二十三条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违反本办法规定，有下列行为之一的，由县级以上工商行政管理部门分别对负有责任的广告主、广告经营者、广告发布者进行处罚：</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（一）违反第七条第一款规定的，责令改正或者停止发布；</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（二）违反第七条第二款、第九条规定的，责令改正或者停止广告活动，没收非法所得，处以</w:t>
      </w:r>
      <w:r>
        <w:rPr>
          <w:rFonts w:cs="仿宋_GB2312" w:ascii="仿宋_GB2312" w:hAnsi="仿宋_GB2312"/>
          <w:bCs/>
          <w:color w:val="000000"/>
          <w:szCs w:val="32"/>
        </w:rPr>
        <w:t>1</w:t>
      </w:r>
      <w:r>
        <w:rPr>
          <w:rFonts w:ascii="仿宋_GB2312" w:hAnsi="仿宋_GB2312" w:cs="仿宋_GB2312" w:hint="eastAsia"/>
          <w:bCs/>
          <w:color w:val="000000"/>
          <w:szCs w:val="32"/>
          <w:lang w:val="zh-CN"/>
        </w:rPr>
        <w:t>千元以上</w:t>
      </w:r>
      <w:r>
        <w:rPr>
          <w:rFonts w:cs="仿宋_GB2312" w:ascii="仿宋_GB2312" w:hAnsi="仿宋_GB2312"/>
          <w:bCs/>
          <w:color w:val="000000"/>
          <w:szCs w:val="32"/>
        </w:rPr>
        <w:t>1</w:t>
      </w:r>
      <w:r>
        <w:rPr>
          <w:rFonts w:ascii="仿宋_GB2312" w:hAnsi="仿宋_GB2312" w:cs="仿宋_GB2312" w:hint="eastAsia"/>
          <w:bCs/>
          <w:color w:val="000000"/>
          <w:szCs w:val="32"/>
          <w:lang w:val="zh-CN"/>
        </w:rPr>
        <w:t>万元以下罚款；</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（三）违反第八条、第十一条、第二十条规定的，责令停止发布或者公开更正，没收广告费用，可以并处广告费用一倍以上五倍以下的罚款，其中违反第十一条规定，情节严重的，依法停止其广告业务；</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（四）违反第十四条规定的，责令限期申报或者改正；逾期不申报或者不改正的依法停止其广告业务。</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第二十四条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广告违法行为的当事人阻碍执法检查，拒绝、拖延提供有关资料、情况，或者故意提供虚假资料、情况的，工商行政管理部门责令限期改正，逾期不改的，可依法停止其广告业务。</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第二十五条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违反本办法规定，发布虚假广告，欺骗和误导消费者，使消费者合法权益受到损害的，由广告主依法承担民事责任；广告经营者、广告发布者明知或者应知广告虚假仍设计、制作、发布的，应依法承担连带责任；社会团体或者其他组织，在广告中向消费者推荐商品或者服务，使消费者的合法权益受到损害的，应当依法承担连带责任；构成犯罪的，依法追究刑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广告审查机关对违法的广告内容作出审查批准决定的，对直接负责的主管人员和其他直接责任人员，由其所在单位或者上级机关、监察部门依法给予行政处分。</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第二十六条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工商行政管理部门和广告审查机关的工作人员玩忽职守、滥用职权、徇私舞弊的，给予行政处分；构成犯罪的，依法追究刑事责任。</w:t>
      </w:r>
    </w:p>
    <w:p>
      <w:pPr>
        <w:pStyle w:val="Normal"/>
        <w:widowControl w:val="false"/>
        <w:spacing w:lineRule="exact" w:line="570"/>
        <w:rPr>
          <w:rFonts w:ascii="仿宋_GB2312" w:hAnsi="仿宋_GB2312" w:cs="仿宋_GB2312"/>
          <w:bCs/>
          <w:color w:val="000000"/>
          <w:szCs w:val="32"/>
          <w:lang w:val="zh-CN"/>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第二十七条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当事人对行政处罚决定不服的，可依法申请复议或者向人民法院起诉。逾期不申请复议、不起诉又不履行处罚决定的，由作出处罚决定的机关申请人民法院强制执行。</w:t>
      </w:r>
    </w:p>
    <w:p>
      <w:pPr>
        <w:pStyle w:val="Normal"/>
        <w:widowControl w:val="false"/>
        <w:spacing w:lineRule="exact" w:line="570"/>
        <w:rPr>
          <w:rFonts w:ascii="仿宋_GB2312" w:hAnsi="仿宋_GB2312" w:cs="仿宋_GB2312"/>
          <w:bCs/>
          <w:szCs w:val="32"/>
        </w:rPr>
      </w:pPr>
      <w:r>
        <w:rPr>
          <w:rFonts w:ascii="仿宋_GB2312" w:hAnsi="仿宋_GB2312" w:cs="仿宋_GB2312" w:hint="eastAsia"/>
          <w:bCs/>
          <w:color w:val="000000"/>
          <w:szCs w:val="32"/>
        </w:rPr>
        <w:t>　　</w:t>
      </w:r>
      <w:r>
        <w:rPr>
          <w:rFonts w:ascii="黑体;SimHei" w:hAnsi="黑体;SimHei" w:cs="黑体;SimHei" w:hint="eastAsia" w:eastAsia="黑体;SimHei"/>
          <w:bCs/>
          <w:color w:val="000000"/>
          <w:szCs w:val="32"/>
          <w:lang w:val="zh-CN"/>
        </w:rPr>
        <w:t>第二十八条</w:t>
      </w:r>
      <w:r>
        <w:rPr>
          <w:rFonts w:ascii="仿宋_GB2312" w:hAnsi="仿宋_GB2312" w:cs="仿宋_GB2312" w:hint="eastAsia"/>
          <w:bCs/>
          <w:color w:val="000000"/>
          <w:szCs w:val="32"/>
        </w:rPr>
        <w:t>　</w:t>
      </w:r>
      <w:r>
        <w:rPr>
          <w:rFonts w:ascii="仿宋_GB2312" w:hAnsi="仿宋_GB2312" w:cs="仿宋_GB2312" w:hint="eastAsia"/>
          <w:bCs/>
          <w:color w:val="000000"/>
          <w:szCs w:val="32"/>
          <w:lang w:val="zh-CN"/>
        </w:rPr>
        <w:t>本办法自公布之日起施行。</w:t>
      </w:r>
    </w:p>
    <w:p>
      <w:pPr>
        <w:pStyle w:val="Normal"/>
        <w:rPr>
          <w:rFonts w:ascii="仿宋_GB2312" w:hAnsi="仿宋_GB2312" w:cs="仿宋_GB2312"/>
          <w:bCs/>
          <w:szCs w:val="32"/>
        </w:rPr>
      </w:pPr>
      <w:r>
        <w:rPr>
          <w:rFonts w:cs="仿宋_GB2312" w:ascii="仿宋_GB2312" w:hAnsi="仿宋_GB2312"/>
          <w:bCs/>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2017-12-28T17:38:00Z</dcterms:created>
  <dc:creator>匿名用户</dc:creator>
  <dc:description/>
  <cp:keywords/>
  <dc:language>en-US</dc:language>
  <cp:lastModifiedBy>Byron Jack</cp:lastModifiedBy>
  <cp:lastPrinted>2017-12-26T14:41:00Z</cp:lastPrinted>
  <dcterms:modified xsi:type="dcterms:W3CDTF">2017-12-28T17:38:00Z</dcterms:modified>
  <cp:revision>2</cp:revision>
  <dc:subject/>
  <dc:title>湖北省劳动力市场管理条例</dc:title>
</cp:coreProperties>
</file>