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湖北省河道采砂管理条例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日湖北省第十三届人民代表大会常务委员会第五次会议通过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 xml:space="preserve">日湖北省第十三届人民代表大会常务委员会第十六次会议《关于集中修改、废止涉及取消证明事项的部分省本级地方性法规的决定》第一次修正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 xml:space="preserve">日湖北省第十三届人民代表大会常务委员会第二十六次会议《关于集中修改涉及长江保护法省本级地方性法规的决定》第二次修正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日湖北省第十三届人民代表大会常务委员会第三十四次会议《关于集中修改、废止部分省本级地方性法规的决定》第三次修正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河道采砂规划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河道采砂许可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河道采砂监督管理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加强河道采砂管理，保障河势稳定和防洪、通航安全，推进长江经济带生态环境保护，根据《中华人民共和国环境保护法》《中华人民共和国水法》《中华人民共和国河道管理条例》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本条例适用于本省行政区域内从事河道采砂及其管理活动。《长江河道采砂管理条例》有规定的，从其规定。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本条例所称河道采砂，是指在河道（包括湖泊、水库、人工水道等）管理范围内开采砂石、取土和淘金等行为。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河道砂石资源属于国家所有，任何单位或者个人不得非法开采。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河道采砂管理应当遵循生态优先、科学规划、严格控制、规范开采、依法监管的原则。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河道采砂管理实行行政首长负责制。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加强对本行政区域内河道采砂管理工作的领导，健全部门、区域联动协作机制，推进河道采砂管理能力建设和信息化建设，将河道采砂管理工作纳入河湖长制管理，健全河道采砂管理的督察、通报、考核、问责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乡镇人民政府、街道办事处应当按照上级人民政府及其有关部门的要求做好河道采砂管理的相关工作。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村（居）民委员会应当配合做好河道采砂管理相关工作。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县级以上人民政府河道采砂主管部门负责本行政区域内河道采砂的管理和监督检查工作。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交通运输主管部门负责采（运）砂船舶（车辆）的管理，依法查处证照不齐全的采（运）砂船舶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、非法码头以及违法运输砂石等行为。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公安机关负责依法处置河道采砂活动中非法采砂、无证驾驶船舶（车辆）、妨害公务等治安违法和犯罪行为。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船舶工业、标准化主管部门负责采（运）砂船舶建造和改造的管理。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生态环境、自然资源、农业农村、市场监管等主管部门按照各自职责，依法做好河道采砂相关监督管理工作。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鼓励和支持开展制砂科学技术研究，推广应用先进适用的制砂技术、装备，发展现代、环保的砂石供应产业。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国家机关及其工作人员不得违反规定参与河道采砂经营活动，不得纵容、包庇河道采砂违法行为。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第二章  河道采砂规划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河道采砂规划应当在调研论证的基础上，根据生态环境安全、防洪安全、通航安全和河势稳定的要求编制，并与流域综合规划和防洪、河道整治、航道整治、饮用水水源保护、水生生物资源保护等专业规划相衔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汉江丹江口大坝以下河段、东荆河的采砂规划，由省人民政府河道采砂主管部门组织编制，报省人民政府批准实施。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其他河道的采砂规划，由设区的市（自治州）、县级人民政府河道采砂主管部门按照省有关规定对每条河道组织编制，经上一级河道采砂主管部门同意后报本级人民政府批准实施。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编制河道采砂规划应当征求交通运输、生态环境、自然资源、公安、农业农村等主管部门的意见，并采取论证会、听证会或者其他方式征求专家、公众和利益相关方的意见。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经批准的河道采砂规划应当向社会公开，并严格执行；确需调整的，应当经原批准机关批准。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河道采砂规划应当包括以下内容：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（一）砂石砂质、分布、储量，可利用砂石总量与补给分析；</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（二）采砂影响分析评价；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（三）禁采区、可采区；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（四）禁采期、可采期；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（五）年度采砂控制总量、开采范围和开采高程；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（六）采砂船舶（机具）的种类、控制数量和开采方式；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（七）沿河两岸临时堆砂场的控制数量及布局；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（八）弃料处理和河道清理、修复；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（九）规划实施与管理。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下列区域为禁采区：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w:t>
      </w:r>
      <w:r>
        <w:rPr>
          <w:rFonts w:ascii="仿宋_GB2312;仿宋" w:hAnsi="仿宋_GB2312;仿宋" w:cs="仿宋_GB2312;仿宋" w:hint="eastAsia" w:eastAsia="仿宋_GB2312;仿宋"/>
          <w:b w:val="false"/>
          <w:bCs/>
          <w:color w:val="000000"/>
          <w:sz w:val="32"/>
          <w:szCs w:val="32"/>
        </w:rPr>
        <w:t>饮用水水源保护区、水产种质资源保护区、鸟类栖息地</w:t>
      </w:r>
      <w:r>
        <w:rPr>
          <w:rFonts w:ascii="仿宋_GB2312;仿宋" w:hAnsi="仿宋_GB2312;仿宋" w:cs="仿宋_GB2312;仿宋" w:hint="eastAsia" w:eastAsia="仿宋_GB2312;仿宋"/>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（二）自然保护区、风景名胜区、国家公园、森林公园、湿地公园、地质公园以及天然林保护范围；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（三）河道防洪工程、河道整治工程、航道整治工程、航道构（建）筑物、航道配套设施、水库枢纽、水文监测设施、水环境监测设施、涵闸以及取水、排水、水电站等工程及其附属设施的安全保护范围；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（四）桥梁、码头、浮桥、渡口、过河电缆、管道、隧道等工程及其附属设施的安全保护范围；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（五）河道险工、险段和浅窄航道附近区域；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（六）法律、法规规定禁止采砂的其他区域。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下列时段为禁采期：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（一）主汛期；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（二）河道达到或者超过警戒水位时；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（三）法律、法规规定禁止采砂的其他时段。</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县级以上人民政府依法划定和公告禁止采砂区、禁止采砂期，并设立明显的禁采区标志。禁止在禁采区和禁采期从事采砂活动。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可采区、可采期内，因防洪、河势改变、水工程建设、水生态环境遭受严重改变以及有重大水上活动等情形不宜采砂的，县级以上人民政府河道采砂主管部门应当划定临时禁采区或者规定临时禁采期，报同级人民政府批准后予以公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县级以上人民政府河道采砂主管部门应当根据河道采砂规划，制定本行政区域内可采区的年度采砂实施方案，经本级人民政府同意，报上一级河道采砂主管部门备案后予以公布。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年度采砂实施方案应当包括下列内容：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（一）采区基本情况，许可方式、期限；</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（二）采区采砂控制量、开采范围和开采高程；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（三）采砂作业方式、船舶（机具）数量及采砂设备种类、功率；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（四）临时堆砂场、卸砂点控制数量、布局、存放时限；</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（五）河道清理、修复方案；</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（六）采区现场监管方案；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（七）其他需要明确的事项。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河道采砂许可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河道采砂实行许可制度。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县级以上人民政府河道采砂主管部门应当按照河道采砂分级管理权限实施许可。河道采砂分级管理权限由省人民政府河道采砂主管部门规定。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未经许可，禁止在本行政区域内从事河道采砂活动。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河道采砂实行总量控制制度。河道采砂主管部门应当根据河道采砂规划严格控制本行政区域内每条河道的年度采砂总量，实际审批的年度采砂总量不得超过年度采砂控制总量，每一可采区实际审批的年度采砂量不得超过该可采区的年度采砂控制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申请从事河道采砂的单位和个人应当符合下列条件：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（一）有依法取得的营业执照；</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（二）有符合环保等要求的采砂作业方式；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（三）有符合要求的采砂设备和采砂技术人员；</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（四）用船舶采砂的，船舶、船员的证书齐全有效；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（五）无非法采砂失信行为和不良记录；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申请办理河道采砂许可，应当提交或者提请许可机关核实下列资料：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（一）河道采砂申请；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（二）营业执照；</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（三）采砂船舶（机具）证书、采砂技术人员的基本情况；</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（四）砂石堆放地点和弃料处理方案；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（五）船舶油污、生活废弃物的处理方案；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（六）河道清理、修复方案；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（七）规范开采的承诺书</w:t>
      </w:r>
      <w:r>
        <w:rPr>
          <w:rFonts w:eastAsia="仿宋_GB2312;仿宋" w:cs="仿宋_GB2312;仿宋" w:hint="eastAsia" w:ascii="仿宋_GB2312;仿宋" w:hAnsi="仿宋_GB2312;仿宋"/>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（八）其他有关资料。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河道采砂许可由河道采砂主管部门通过招标、拍卖、挂牌等公平竞争的方式实施。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河道采砂主管部门应当依法确定中标人或者买受人，发放河道采砂许可证，并书面告知从事河道采砂应当遵守的相关规定。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因吹填造地、路基填筑等重点工程需要进行河道采砂的，应当编制采砂可行性论证报告，经上一级人民政府同意，依法向有许可权的河道采砂主管部门申请。对符合河道采砂许可条件的，由河道采砂主管部门发放河道采砂许可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因整修河道堤防进行吹填固基等公益性采砂活动的，不需要办理河道采砂许可证，但应当按照要求编制采砂可行性论证报告，报有许可权的河道采砂主管部门审批。所采砂石不得用于经营。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县级以上人民政府可以决定对本行政区域内的河道砂石资源按照政企分开的原则依法实行统一经营，具体办法由县级以上人民政府规定，并报上一级人民政府备案。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河道采砂许可证由省人民政府河道采砂主管部门统一印制，载明采砂单位或者个人的名称（姓名），采砂船舶（机具）名称、编号、功率，采砂地点、时限、开采范围、开采高程以及作业方式、现场清理方式、许可证有效期限等事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许可证的有效期不得超过一年。河道采砂许可证的有效期届满或者累计采砂量达到规定开采量的，采砂单位和个人应当终止采砂行为，并按照规定对作业现场进行清理、修复；发证机关应当收回或者注销河道采砂许可证，并予以公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河道采砂许可证载明的事项发生变更的，被许可人应当及时向作出许可决定的河道采砂主管部门申请办理变更手续。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禁止伪造、涂改、买卖、出租、出借或者以其他方式非法转让河道采砂许可证。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取得河道砂石开采权的单位和个人应当依法缴纳矿业权出让收益。矿业权出让收益的征收和使用管理，按照国家及省有关规定确定。国家另有规定的从其规定。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依法整治疏浚河道、航道、涉水工程所产生的砂石需要综合利用的，应当由项目所在地县级以上人民政府报上一级人民政府河道采砂主管部门审批后依法处置。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河道采砂监督管理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从事河道采砂的单位和个人应当遵守下列规定：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（一）按照河道采砂许可确定的时间、地点、采砂控制量、开采范围、开采高程和作业方式等进行开采；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（二）设置采区边界标识，提供有关资料，接受监督检查；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（三）及时清运砂石、平整弃料堆体或者采砂坑槽；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（四）不得在河道管理范围内擅自设置砂场、堆积砂石或者弃料；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（五）不得违反有关通航安全规定，不得向航道和通航水域抛弃废弃物，不得妨碍航道畅通、损害通航条件；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（六）不得危及水工程、水文、桥梁、隧道、管线、环境保护等设施以及岸坡安全；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（七）法律、法规有关河道采砂的其他规定。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采（运）砂船舶（机具）应当依法持有合格的检验证书、登记证书、必要的航行资料。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未依法持有前款规定证书、航行资料的采（运）砂船舶（机具），不得在河道管理范围内通行、采（运）砂。</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任何采砂船舶不得在禁采区滞留；未取得河道采砂许可证的采砂船舶不得在可采区滞留。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采砂船舶在禁采期应当停放在所在地县级人民政府指定的集中停放地点。无正当理由，不得擅自离开。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河道管理范围内的运砂船舶（车辆）装运河道砂石，应当持有负责现场监管的河道采砂主管部门核发的砂石合法来源凭证。没有砂石合法来源凭证的河道砂石，运砂船舶（车辆）不得装运，任何单位和个人不得收购、销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砂石合法来源凭证由省人民政府河道采砂主管部门统一格式，内容包括河道砂石来源地、运输工具及所有人的证照号、装运时限、砂石数量等有关事项。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县级以上人民政府河道采砂、交通运输等主管部门应当加强对河道采（运）砂活动的监督管理，组织开展巡查检查，及时发现和查处违法采（运）砂行为，对采砂作业现场的清理、修复等情况予以监督管理。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县级以上人民政府应当建立河道采砂预警应急联动以及联合执法机制，组织河道采砂、公安、交通运输、生态环境等主管部门开展联合执法，对采砂现场的生产、交易、运输和水上交通、社会治安进行监督管理。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对于交界水域，应当加强区域合作，建立健全交界水域联管联治机制，开展交界河段非法采砂联合整治。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以上人民政府应当组织交通运输、河道采砂、公安、船舶工业、市场监管等主管部门开展采砂船舶的综合整治工作，对本行政区域内的采砂船舶进行登记，对采砂船舶进行总量控制，查处违法建造和改造采砂船舶的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县级以上人民政府河道采砂主管部门应当建立河道采砂管理平台，交通运输、公安、市场监管等主管部门应当将执法监管信息数据纳入河道采砂管理平台，实现信息互换、监管互认、执法互助。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县级以上人民政府应当在采砂船舶集中停放点、非法采砂多发水域安装监控系统，为采砂船舶安装电子信息化监控设备，提高信息化监管水平。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从事采砂的单位和个人应当配合安装电子信息化监控设备，不得损坏或者擅自拆除。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县级以上人民政府有关部门履行河道采砂监督管理职责时，有权采取下列措施：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（一）进入采砂生产、运输、存放场所进行调查、取证；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（二）要求采（运）砂单位和个人如实提供与河道采（运）砂有关的文件、证照、资料；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（三）责令采（运）砂单位和个人停止违法采（运）砂行为；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（四）依法扣押非法采砂船舶（机具）、运砂船舶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以及非法采（运）的砂石。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县级以上人民政府有关部门应当建立河道采砂违法行为信用记录，并纳入社会信用信息服务平台，依法实行联合惩戒。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出现影响河势稳定、防洪安全、通航安全或者生态环境的自然灾害或者其他重大事件需要暂停采砂的，采砂单位和个人应当按照县级以上人民政府河道采砂主管部门的规定暂停采砂活动。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前款规定的情形消除后，县级以上人民政府河道采砂主管部门应当及时解除临时处置措施。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县级以上人民政府河道采砂主管部门应当建立河道采砂违法行为的举报制度，公布举报电话、电子邮箱等。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对河道采砂的违法行为，任何单位和个人有权向河道采砂主管部门举报。经查证属实的，对举报人给予奖励，并为其保密。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违反本条例，法律、法规有规定的，从其规定。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国家机关及其工作人员有下列行为之一的，对直接负责的主管人员和其他直接责任人员依法给予处分；构成犯罪的，依法追究刑事责任：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（一）不执行已经批准的河道采砂规划，擅自修改河道采砂规划或者违反河道采砂规划批准采砂的；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（二）不履行河道采砂监督管理职责，造成河道采砂管理秩序混乱或者重大责任事故的；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（三）不按照规定审批发放河道采砂许可证或者其他批准文件的；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（四）不按照规定征收砂石矿业权出让收益，致使国家资源流失的；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（五）截留、挪用砂石矿业权出让收益的；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（六）违反规定参与河道采砂经营活动或者纵容、包庇河道采砂违法行为的；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（七）擅自利用因整治疏浚河道、航道、涉水工程所产生的砂石的；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违反本条例第十二条第一款、第十四条第三款规定，未依法取得许可从事采砂活动或者在禁采区和禁采期从事采砂活动的，由河道采砂主管部门责令停止违法行为，没收违法所得以及用于违法活动的船舶、设备、工具，并处货值金额二倍以上二十倍以下罚款；货值金额不足</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万元的，并处</w:t>
      </w:r>
      <w:r>
        <w:rPr>
          <w:rFonts w:eastAsia="仿宋_GB2312;仿宋" w:cs="仿宋_GB2312;仿宋" w:hint="eastAsia" w:ascii="仿宋_GB2312;仿宋" w:hAnsi="仿宋_GB2312;仿宋"/>
          <w:b w:val="false"/>
          <w:bCs/>
          <w:color w:val="000000"/>
          <w:sz w:val="32"/>
          <w:szCs w:val="32"/>
        </w:rPr>
        <w:t>20</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200</w:t>
      </w:r>
      <w:r>
        <w:rPr>
          <w:rFonts w:ascii="仿宋_GB2312;仿宋" w:hAnsi="仿宋_GB2312;仿宋" w:cs="仿宋_GB2312;仿宋" w:hint="eastAsia" w:eastAsia="仿宋_GB2312;仿宋"/>
          <w:b w:val="false"/>
          <w:bCs/>
          <w:color w:val="000000"/>
          <w:sz w:val="32"/>
          <w:szCs w:val="32"/>
        </w:rPr>
        <w:t>万元以下罚款；已经取得河道采砂许可证的，吊销河道采砂许可证。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违反本条例第二十一条第四款规定，伪造、涂改、买卖、出租、出借或者以其他方式非法转让河道采砂许可证的，由河道采砂主管部门吊销河道采砂许可证或者收缴伪造的河道采砂许可证，没收违法所得，并处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违反本条例第二十四条第一项规定，未按照河道采砂许可规定采砂的，由河道采砂主管部门责令停止违法行为，扣押违法采砂船舶（机具），没收违法所得，并处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万元以下罚款；情节严重的，吊销河道采砂许可证，并处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违反本条例第二十四条第四项规定，在河道管理范围内擅自设置砂场、堆积砂石或者弃料的，由河道采砂主管部门责令限期改正，清除堆积的砂石、弃料或者采取其他措施恢复原貌；逾期未改正的，处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违反本条例第二十五条规定，未依法持有合格检验证书、登记证书、必要航行资料的采（运）砂船舶（机具）在河道通行的，由交通运输主管部门责令停止航行；拒不停止的，扣押采（运）砂船舶（机具）。在河道违法采砂的，由河道采砂主管部门按照本条例第三十八条规定处罚，并没收采砂船舶（机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违反本条例第二十六条规定，采砂船舶在禁采区滞留，未取得河道采砂许可证的采砂船舶在可采区滞留或者采砂船舶在禁采期未按指定位置集中停放或者擅自离开的，由河道采砂主管部门责令限期改正，并处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违反本条例第二十七条第一款规定，在河道管理范围内装运没有合法来源凭证的河道砂石的，由交通运输主管部门扣押违法运砂船舶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，没收违法所得和所运砂石，并处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万元以下罚款。在河道管理范围内收购、销售没有合法来源凭证的河道砂石的，由河道采砂主管部门没收违法所得和砂石，并处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违反本条例第三十一条第三款规定，损坏或者擅自拆除采砂船舶电子信息化监控设备的，由河道采砂主管部门责令停止违法行为、限期恢复原状；逾期未改正的，处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县级以上人民政府河道采砂主管部门及其他负有河道采砂监督管理职责的部门在查处采砂违法行为时，发现涉嫌犯罪的，应当依法移送司法机关追究刑事责任。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本条例所称采砂机具，包括挖掘机械、吊杆机械、分离机械等与采运砂石相关的机械和工具。</w:t>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2018</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widowControl/>
    </w:pPr>
    <w:rPr>
      <w:rFonts w:ascii="Calibri" w:hAnsi="Calibri" w:eastAsia="仿宋_GB2312;仿宋" w:cs="Times New Roman"/>
      <w:sz w:val="18"/>
      <w:szCs w:val="18"/>
    </w:rPr>
  </w:style>
  <w:style w:type="paragraph" w:styleId="Style17">
    <w:name w:val="普通(网站)"/>
    <w:basedOn w:val="Normal"/>
    <w:qFormat/>
    <w:pPr>
      <w:spacing w:before="280" w:after="280"/>
      <w:ind w:hanging="0" w:start="0" w:end="0"/>
      <w:jc w:val="start"/>
    </w:pPr>
    <w:rPr>
      <w:rFonts w:ascii="Calibri" w:hAnsi="Calibri" w:eastAsia="仿宋_GB2312;仿宋" w:cs="Times New Roman"/>
      <w:kern w:val="0"/>
      <w:sz w:val="24"/>
      <w:szCs w:val="32"/>
      <w:lang w:bidi="ar"/>
    </w:rPr>
  </w:style>
  <w:style w:type="paragraph" w:styleId="BodyTextIndent">
    <w:name w:val="Body Text Indent"/>
    <w:basedOn w:val="Normal"/>
    <w:next w:val="Style18"/>
    <w:pPr>
      <w:ind w:firstLine="630" w:start="0" w:end="0"/>
    </w:pPr>
    <w:rPr>
      <w:rFonts w:ascii="仿宋_GB2312;仿宋" w:hAnsi="仿宋_GB2312;仿宋" w:eastAsia="仿宋_GB2312;仿宋" w:cs="Times New Roman"/>
      <w:sz w:val="32"/>
      <w:szCs w:val="20"/>
    </w:rPr>
  </w:style>
  <w:style w:type="paragraph" w:styleId="2">
    <w:name w:val="正文首行缩进 2"/>
    <w:basedOn w:val="BodyTextIndent"/>
    <w:next w:val="Normal"/>
    <w:qFormat/>
    <w:pPr>
      <w:ind w:firstLineChars="200" w:startChars="0" w:start="0" w:endChars="0" w:end="0"/>
    </w:pPr>
    <w:rPr/>
  </w:style>
  <w:style w:type="paragraph" w:styleId="Style18">
    <w:name w:val="正文缩进"/>
    <w:basedOn w:val="Normal"/>
    <w:qFormat/>
    <w:pPr>
      <w:ind w:firstLineChars="200" w:startChars="0" w:start="0" w:endChars="0" w:end="0"/>
    </w:pPr>
    <w:rPr>
      <w:rFonts w:ascii="Times New Roman" w:hAnsi="Times New Roman" w:eastAsia="仿宋" w:cs="Times New Roman"/>
      <w:sz w:val="32"/>
    </w:rPr>
  </w:style>
  <w:style w:type="paragraph" w:styleId="Style19">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admin</cp:lastModifiedBy>
  <cp:lastPrinted>2022-11-15T17:14:00Z</cp:lastPrinted>
  <dcterms:modified xsi:type="dcterms:W3CDTF">2022-12-27T14:46:40Z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