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589"/>
        <w:jc w:val="center"/>
        <w:rPr>
          <w:rFonts w:ascii="宋体" w:hAnsi="宋体" w:eastAsia="宋体" w:cs="宋体" w:hint="eastAsia"/>
          <w:spacing w:val="-3"/>
          <w:sz w:val="44"/>
          <w:szCs w:val="44"/>
        </w:rPr>
      </w:pPr>
      <w:r>
        <w:rPr>
          <w:rFonts w:eastAsia="宋体" w:cs="宋体" w:hint="eastAsia" w:ascii="宋体" w:hAnsi="宋体"/>
          <w:spacing w:val="-3"/>
          <w:sz w:val="44"/>
          <w:szCs w:val="44"/>
        </w:rPr>
      </w:r>
    </w:p>
    <w:p>
      <w:pPr>
        <w:pStyle w:val="Normal"/>
        <w:spacing w:lineRule="exact" w:line="589"/>
        <w:jc w:val="center"/>
        <w:rPr>
          <w:rFonts w:ascii="宋体" w:hAnsi="宋体" w:eastAsia="宋体" w:cs="宋体" w:hint="eastAsia"/>
          <w:spacing w:val="-3"/>
          <w:sz w:val="44"/>
          <w:szCs w:val="44"/>
        </w:rPr>
      </w:pPr>
      <w:r>
        <w:rPr>
          <w:rFonts w:eastAsia="宋体" w:cs="宋体" w:hint="eastAsia" w:ascii="宋体" w:hAnsi="宋体"/>
          <w:spacing w:val="-3"/>
          <w:sz w:val="44"/>
          <w:szCs w:val="44"/>
        </w:rPr>
      </w:r>
    </w:p>
    <w:p>
      <w:pPr>
        <w:pStyle w:val="Normal"/>
        <w:spacing w:lineRule="exact" w:line="589"/>
        <w:jc w:val="center"/>
        <w:rPr>
          <w:rFonts w:ascii="宋体" w:hAnsi="宋体" w:eastAsia="宋体" w:cs="宋体" w:hint="eastAsia"/>
          <w:spacing w:val="-3"/>
          <w:sz w:val="44"/>
          <w:szCs w:val="44"/>
        </w:rPr>
      </w:pPr>
      <w:r>
        <w:rPr>
          <w:rFonts w:ascii="宋体" w:hAnsi="宋体" w:cs="宋体" w:hint="eastAsia"/>
          <w:spacing w:val="-3"/>
          <w:sz w:val="44"/>
          <w:szCs w:val="44"/>
        </w:rPr>
        <w:t>湖北省人大常委会关于政府规章设定行政处罚罚款限额的规定</w:t>
      </w:r>
    </w:p>
    <w:p>
      <w:pPr>
        <w:pStyle w:val="Normal"/>
        <w:spacing w:lineRule="exact" w:line="589"/>
        <w:rPr>
          <w:rFonts w:ascii="仿宋_GB2312;仿宋" w:hAnsi="仿宋_GB2312;仿宋" w:eastAsia="仿宋_GB2312;仿宋" w:cs="仿宋_GB2312;仿宋" w:hint="eastAsia"/>
          <w:spacing w:val="-3"/>
          <w:sz w:val="32"/>
          <w:szCs w:val="32"/>
        </w:rPr>
      </w:pPr>
      <w:r>
        <w:rPr>
          <w:rFonts w:eastAsia="仿宋_GB2312;仿宋" w:cs="仿宋_GB2312;仿宋" w:hint="eastAsia" w:ascii="仿宋_GB2312;仿宋" w:hAnsi="仿宋_GB2312;仿宋"/>
          <w:spacing w:val="-3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9"/>
        <w:ind w:firstLineChars="0" w:firstLine="0" w:startChars="300" w:endChars="300"/>
        <w:jc w:val="both"/>
        <w:textAlignment w:val="auto"/>
        <w:rPr>
          <w:rFonts w:ascii="楷体_GB2312;楷体" w:hAnsi="楷体_GB2312;楷体" w:eastAsia="楷体_GB2312;楷体" w:cs="楷体_GB2312;楷体" w:hint="eastAsia"/>
          <w:spacing w:val="-3"/>
          <w:sz w:val="32"/>
          <w:szCs w:val="32"/>
        </w:rPr>
      </w:pPr>
      <w:r>
        <w:rPr>
          <w:rFonts w:ascii="楷体_GB2312;楷体" w:hAnsi="楷体_GB2312;楷体" w:cs="楷体_GB2312;楷体" w:hint="eastAsia" w:eastAsia="楷体_GB2312;楷体"/>
          <w:spacing w:val="-3"/>
          <w:sz w:val="32"/>
          <w:szCs w:val="32"/>
        </w:rPr>
        <w:t>（</w:t>
      </w:r>
      <w:r>
        <w:rPr>
          <w:rFonts w:eastAsia="楷体_GB2312;楷体" w:cs="楷体_GB2312;楷体" w:hint="eastAsia" w:ascii="楷体_GB2312;楷体" w:hAnsi="楷体_GB2312;楷体"/>
          <w:spacing w:val="-3"/>
          <w:sz w:val="32"/>
          <w:szCs w:val="32"/>
        </w:rPr>
        <w:t>1996</w:t>
      </w:r>
      <w:r>
        <w:rPr>
          <w:rFonts w:ascii="楷体_GB2312;楷体" w:hAnsi="楷体_GB2312;楷体" w:cs="楷体_GB2312;楷体" w:hint="eastAsia" w:eastAsia="楷体_GB2312;楷体"/>
          <w:spacing w:val="-3"/>
          <w:sz w:val="32"/>
          <w:szCs w:val="32"/>
        </w:rPr>
        <w:t>年</w:t>
      </w:r>
      <w:r>
        <w:rPr>
          <w:rFonts w:eastAsia="楷体_GB2312;楷体" w:cs="楷体_GB2312;楷体" w:hint="eastAsia" w:ascii="楷体_GB2312;楷体" w:hAnsi="楷体_GB2312;楷体"/>
          <w:spacing w:val="-3"/>
          <w:sz w:val="32"/>
          <w:szCs w:val="32"/>
        </w:rPr>
        <w:t>9</w:t>
      </w:r>
      <w:r>
        <w:rPr>
          <w:rFonts w:ascii="楷体_GB2312;楷体" w:hAnsi="楷体_GB2312;楷体" w:cs="楷体_GB2312;楷体" w:hint="eastAsia" w:eastAsia="楷体_GB2312;楷体"/>
          <w:spacing w:val="-3"/>
          <w:sz w:val="32"/>
          <w:szCs w:val="32"/>
        </w:rPr>
        <w:t>月</w:t>
      </w:r>
      <w:r>
        <w:rPr>
          <w:rFonts w:eastAsia="楷体_GB2312;楷体" w:cs="楷体_GB2312;楷体" w:hint="eastAsia" w:ascii="楷体_GB2312;楷体" w:hAnsi="楷体_GB2312;楷体"/>
          <w:spacing w:val="-3"/>
          <w:sz w:val="32"/>
          <w:szCs w:val="32"/>
        </w:rPr>
        <w:t>21</w:t>
      </w:r>
      <w:r>
        <w:rPr>
          <w:rFonts w:ascii="楷体_GB2312;楷体" w:hAnsi="楷体_GB2312;楷体" w:cs="楷体_GB2312;楷体" w:hint="eastAsia" w:eastAsia="楷体_GB2312;楷体"/>
          <w:spacing w:val="-3"/>
          <w:sz w:val="32"/>
          <w:szCs w:val="32"/>
        </w:rPr>
        <w:t>日湖北省第八届人民代表大会常务委员会第二十二次会议通过　根据</w:t>
      </w:r>
      <w:r>
        <w:rPr>
          <w:rFonts w:eastAsia="楷体_GB2312;楷体" w:cs="楷体_GB2312;楷体" w:hint="eastAsia" w:ascii="楷体_GB2312;楷体" w:hAnsi="楷体_GB2312;楷体"/>
          <w:spacing w:val="-3"/>
          <w:sz w:val="32"/>
          <w:szCs w:val="32"/>
        </w:rPr>
        <w:t>2013</w:t>
      </w:r>
      <w:r>
        <w:rPr>
          <w:rFonts w:ascii="楷体_GB2312;楷体" w:hAnsi="楷体_GB2312;楷体" w:cs="楷体_GB2312;楷体" w:hint="eastAsia" w:eastAsia="楷体_GB2312;楷体"/>
          <w:spacing w:val="-3"/>
          <w:sz w:val="32"/>
          <w:szCs w:val="32"/>
        </w:rPr>
        <w:t>年</w:t>
      </w:r>
      <w:r>
        <w:rPr>
          <w:rFonts w:eastAsia="楷体_GB2312;楷体" w:cs="楷体_GB2312;楷体" w:hint="eastAsia" w:ascii="楷体_GB2312;楷体" w:hAnsi="楷体_GB2312;楷体"/>
          <w:spacing w:val="-3"/>
          <w:sz w:val="32"/>
          <w:szCs w:val="32"/>
        </w:rPr>
        <w:t>5</w:t>
      </w:r>
      <w:r>
        <w:rPr>
          <w:rFonts w:ascii="楷体_GB2312;楷体" w:hAnsi="楷体_GB2312;楷体" w:cs="楷体_GB2312;楷体" w:hint="eastAsia" w:eastAsia="楷体_GB2312;楷体"/>
          <w:spacing w:val="-3"/>
          <w:sz w:val="32"/>
          <w:szCs w:val="32"/>
        </w:rPr>
        <w:t>月</w:t>
      </w:r>
      <w:r>
        <w:rPr>
          <w:rFonts w:eastAsia="楷体_GB2312;楷体" w:cs="楷体_GB2312;楷体" w:hint="eastAsia" w:ascii="楷体_GB2312;楷体" w:hAnsi="楷体_GB2312;楷体"/>
          <w:spacing w:val="-3"/>
          <w:sz w:val="32"/>
          <w:szCs w:val="32"/>
        </w:rPr>
        <w:t>23</w:t>
      </w:r>
      <w:r>
        <w:rPr>
          <w:rFonts w:ascii="楷体_GB2312;楷体" w:hAnsi="楷体_GB2312;楷体" w:cs="楷体_GB2312;楷体" w:hint="eastAsia" w:eastAsia="楷体_GB2312;楷体"/>
          <w:spacing w:val="-3"/>
          <w:sz w:val="32"/>
          <w:szCs w:val="32"/>
        </w:rPr>
        <w:t>日湖北省第十二届人民代表大会常务委员会第三次会议《关于修改〈湖北省人大常委会关于政府规章设定行政处罚罚款限额的规定〉的决定》第一次修正  根据</w:t>
      </w:r>
      <w:r>
        <w:rPr>
          <w:rFonts w:eastAsia="楷体_GB2312;楷体" w:cs="楷体_GB2312;楷体" w:hint="eastAsia" w:ascii="楷体_GB2312;楷体" w:hAnsi="楷体_GB2312;楷体"/>
          <w:spacing w:val="-3"/>
          <w:sz w:val="32"/>
          <w:szCs w:val="32"/>
        </w:rPr>
        <w:t>2022</w:t>
      </w:r>
      <w:r>
        <w:rPr>
          <w:rFonts w:ascii="楷体_GB2312;楷体" w:hAnsi="楷体_GB2312;楷体" w:cs="楷体_GB2312;楷体" w:hint="eastAsia" w:eastAsia="楷体_GB2312;楷体"/>
          <w:spacing w:val="-3"/>
          <w:sz w:val="32"/>
          <w:szCs w:val="32"/>
        </w:rPr>
        <w:t>年</w:t>
      </w:r>
      <w:r>
        <w:rPr>
          <w:rFonts w:eastAsia="楷体_GB2312;楷体" w:cs="楷体_GB2312;楷体" w:hint="eastAsia" w:ascii="楷体_GB2312;楷体" w:hAnsi="楷体_GB2312;楷体"/>
          <w:spacing w:val="-3"/>
          <w:sz w:val="32"/>
          <w:szCs w:val="32"/>
        </w:rPr>
        <w:t>3</w:t>
      </w:r>
      <w:r>
        <w:rPr>
          <w:rFonts w:ascii="楷体_GB2312;楷体" w:hAnsi="楷体_GB2312;楷体" w:cs="楷体_GB2312;楷体" w:hint="eastAsia" w:eastAsia="楷体_GB2312;楷体"/>
          <w:spacing w:val="-3"/>
          <w:sz w:val="32"/>
          <w:szCs w:val="32"/>
        </w:rPr>
        <w:t>月</w:t>
      </w:r>
      <w:r>
        <w:rPr>
          <w:rFonts w:eastAsia="楷体_GB2312;楷体" w:cs="楷体_GB2312;楷体" w:hint="eastAsia" w:ascii="楷体_GB2312;楷体" w:hAnsi="楷体_GB2312;楷体"/>
          <w:spacing w:val="-3"/>
          <w:sz w:val="32"/>
          <w:szCs w:val="32"/>
        </w:rPr>
        <w:t>31</w:t>
      </w:r>
      <w:r>
        <w:rPr>
          <w:rFonts w:ascii="楷体_GB2312;楷体" w:hAnsi="楷体_GB2312;楷体" w:cs="楷体_GB2312;楷体" w:hint="eastAsia" w:eastAsia="楷体_GB2312;楷体"/>
          <w:spacing w:val="-3"/>
          <w:sz w:val="32"/>
          <w:szCs w:val="32"/>
        </w:rPr>
        <w:t>日湖北省第十三届人民代表大会常务委员会第三十次会议《关于集中修改涉及行政处罚内容的省本级地方性法规的决定》第二次修正）</w:t>
      </w:r>
    </w:p>
    <w:p>
      <w:pPr>
        <w:pStyle w:val="Normal"/>
        <w:spacing w:lineRule="exact" w:line="589"/>
        <w:rPr>
          <w:rFonts w:ascii="仿宋_GB2312;仿宋" w:hAnsi="仿宋_GB2312;仿宋" w:eastAsia="仿宋_GB2312;仿宋" w:cs="仿宋_GB2312;仿宋" w:hint="eastAsia"/>
          <w:spacing w:val="-3"/>
          <w:sz w:val="32"/>
          <w:szCs w:val="32"/>
        </w:rPr>
      </w:pPr>
      <w:r>
        <w:rPr>
          <w:rFonts w:eastAsia="仿宋_GB2312;仿宋" w:cs="仿宋_GB2312;仿宋" w:hint="eastAsia" w:ascii="仿宋_GB2312;仿宋" w:hAnsi="仿宋_GB2312;仿宋"/>
          <w:spacing w:val="-3"/>
          <w:sz w:val="32"/>
          <w:szCs w:val="32"/>
        </w:rPr>
      </w:r>
    </w:p>
    <w:p>
      <w:pPr>
        <w:pStyle w:val="Normal"/>
        <w:spacing w:lineRule="exact" w:line="589"/>
        <w:rPr>
          <w:rFonts w:ascii="仿宋_GB2312;仿宋" w:hAnsi="仿宋_GB2312;仿宋" w:eastAsia="仿宋_GB2312;仿宋" w:cs="仿宋_GB2312;仿宋" w:hint="eastAsia"/>
          <w:spacing w:val="-3"/>
          <w:sz w:val="32"/>
          <w:szCs w:val="32"/>
        </w:rPr>
      </w:pPr>
      <w:r>
        <w:rPr>
          <w:rFonts w:ascii="仿宋_GB2312;仿宋" w:hAnsi="仿宋_GB2312;仿宋" w:cs="仿宋_GB2312;仿宋" w:hint="eastAsia" w:eastAsia="仿宋_GB2312;仿宋"/>
          <w:spacing w:val="-3"/>
          <w:sz w:val="32"/>
          <w:szCs w:val="32"/>
        </w:rPr>
        <w:t>　　为了规范政府规章设定行政处罚罚款的行为，保护公民、法人或者其他组织的合法权益，根据《中华人民共和国行政处罚法》第十四条的规定，结合我省实际，对政府规章设定行政处罚罚款的限额作如下规定：</w:t>
      </w:r>
    </w:p>
    <w:p>
      <w:pPr>
        <w:pStyle w:val="Normal"/>
        <w:spacing w:lineRule="exact" w:line="589"/>
        <w:rPr>
          <w:rFonts w:ascii="仿宋_GB2312;仿宋" w:hAnsi="仿宋_GB2312;仿宋" w:eastAsia="仿宋_GB2312;仿宋" w:cs="仿宋_GB2312;仿宋" w:hint="eastAsia"/>
          <w:spacing w:val="-3"/>
          <w:sz w:val="32"/>
          <w:szCs w:val="32"/>
        </w:rPr>
      </w:pPr>
      <w:r>
        <w:rPr>
          <w:rFonts w:ascii="仿宋_GB2312;仿宋" w:hAnsi="仿宋_GB2312;仿宋" w:cs="仿宋_GB2312;仿宋" w:hint="eastAsia" w:eastAsia="仿宋_GB2312;仿宋"/>
          <w:spacing w:val="-3"/>
          <w:sz w:val="32"/>
          <w:szCs w:val="32"/>
        </w:rPr>
        <w:t>　　一、对非经营活动中的违反行政管理秩序行为，设定罚款数额不得超过</w:t>
      </w:r>
      <w:r>
        <w:rPr>
          <w:rFonts w:eastAsia="仿宋_GB2312;仿宋" w:cs="仿宋_GB2312;仿宋" w:hint="eastAsia" w:ascii="仿宋_GB2312;仿宋" w:hAnsi="仿宋_GB2312;仿宋"/>
          <w:spacing w:val="-3"/>
          <w:sz w:val="32"/>
          <w:szCs w:val="32"/>
        </w:rPr>
        <w:t>5000</w:t>
      </w:r>
      <w:r>
        <w:rPr>
          <w:rFonts w:ascii="仿宋_GB2312;仿宋" w:hAnsi="仿宋_GB2312;仿宋" w:cs="仿宋_GB2312;仿宋" w:hint="eastAsia" w:eastAsia="仿宋_GB2312;仿宋"/>
          <w:spacing w:val="-3"/>
          <w:sz w:val="32"/>
          <w:szCs w:val="32"/>
        </w:rPr>
        <w:t>元。</w:t>
      </w:r>
    </w:p>
    <w:p>
      <w:pPr>
        <w:pStyle w:val="Normal"/>
        <w:spacing w:lineRule="exact" w:line="589"/>
        <w:rPr>
          <w:rFonts w:ascii="仿宋_GB2312;仿宋" w:hAnsi="仿宋_GB2312;仿宋" w:eastAsia="仿宋_GB2312;仿宋" w:cs="仿宋_GB2312;仿宋" w:hint="eastAsia"/>
          <w:spacing w:val="-3"/>
          <w:sz w:val="32"/>
          <w:szCs w:val="32"/>
        </w:rPr>
      </w:pPr>
      <w:r>
        <w:rPr>
          <w:rFonts w:ascii="仿宋_GB2312;仿宋" w:hAnsi="仿宋_GB2312;仿宋" w:cs="仿宋_GB2312;仿宋" w:hint="eastAsia" w:eastAsia="仿宋_GB2312;仿宋"/>
          <w:spacing w:val="-3"/>
          <w:sz w:val="32"/>
          <w:szCs w:val="32"/>
        </w:rPr>
        <w:t>　　二、对经营活动中的违反行政管理秩序行为，有违法所得的，设定罚款数额不得超过违法所得的</w:t>
      </w:r>
      <w:r>
        <w:rPr>
          <w:rFonts w:eastAsia="仿宋_GB2312;仿宋" w:cs="仿宋_GB2312;仿宋" w:hint="eastAsia" w:ascii="仿宋_GB2312;仿宋" w:hAnsi="仿宋_GB2312;仿宋"/>
          <w:spacing w:val="-3"/>
          <w:sz w:val="32"/>
          <w:szCs w:val="32"/>
        </w:rPr>
        <w:t>3</w:t>
      </w:r>
      <w:r>
        <w:rPr>
          <w:rFonts w:ascii="仿宋_GB2312;仿宋" w:hAnsi="仿宋_GB2312;仿宋" w:cs="仿宋_GB2312;仿宋" w:hint="eastAsia" w:eastAsia="仿宋_GB2312;仿宋"/>
          <w:spacing w:val="-3"/>
          <w:sz w:val="32"/>
          <w:szCs w:val="32"/>
        </w:rPr>
        <w:t>倍，但最高不得超过</w:t>
      </w:r>
      <w:r>
        <w:rPr>
          <w:rFonts w:eastAsia="仿宋_GB2312;仿宋" w:cs="仿宋_GB2312;仿宋" w:hint="eastAsia" w:ascii="仿宋_GB2312;仿宋" w:hAnsi="仿宋_GB2312;仿宋"/>
          <w:spacing w:val="-3"/>
          <w:sz w:val="32"/>
          <w:szCs w:val="32"/>
        </w:rPr>
        <w:t>15</w:t>
      </w:r>
      <w:r>
        <w:rPr>
          <w:rFonts w:ascii="仿宋_GB2312;仿宋" w:hAnsi="仿宋_GB2312;仿宋" w:cs="仿宋_GB2312;仿宋" w:hint="eastAsia" w:eastAsia="仿宋_GB2312;仿宋"/>
          <w:spacing w:val="-3"/>
          <w:sz w:val="32"/>
          <w:szCs w:val="32"/>
        </w:rPr>
        <w:t>万元；没有违法所得的，设定罚款数额不得超过</w:t>
      </w:r>
      <w:r>
        <w:rPr>
          <w:rFonts w:eastAsia="仿宋_GB2312;仿宋" w:cs="仿宋_GB2312;仿宋" w:hint="eastAsia" w:ascii="仿宋_GB2312;仿宋" w:hAnsi="仿宋_GB2312;仿宋"/>
          <w:spacing w:val="-3"/>
          <w:sz w:val="32"/>
          <w:szCs w:val="32"/>
        </w:rPr>
        <w:t>5</w:t>
      </w:r>
      <w:r>
        <w:rPr>
          <w:rFonts w:ascii="仿宋_GB2312;仿宋" w:hAnsi="仿宋_GB2312;仿宋" w:cs="仿宋_GB2312;仿宋" w:hint="eastAsia" w:eastAsia="仿宋_GB2312;仿宋"/>
          <w:spacing w:val="-3"/>
          <w:sz w:val="32"/>
          <w:szCs w:val="32"/>
        </w:rPr>
        <w:t>万元。</w:t>
      </w:r>
    </w:p>
    <w:p>
      <w:pPr>
        <w:pStyle w:val="Normal"/>
        <w:spacing w:lineRule="exact" w:line="589"/>
        <w:rPr>
          <w:rFonts w:ascii="仿宋_GB2312;仿宋" w:hAnsi="仿宋_GB2312;仿宋" w:eastAsia="仿宋_GB2312;仿宋" w:cs="仿宋_GB2312;仿宋" w:hint="eastAsia"/>
          <w:spacing w:val="-3"/>
          <w:sz w:val="32"/>
          <w:szCs w:val="32"/>
        </w:rPr>
      </w:pPr>
      <w:r>
        <w:rPr>
          <w:rFonts w:ascii="仿宋_GB2312;仿宋" w:hAnsi="仿宋_GB2312;仿宋" w:cs="仿宋_GB2312;仿宋" w:hint="eastAsia" w:eastAsia="仿宋_GB2312;仿宋"/>
          <w:spacing w:val="-3"/>
          <w:sz w:val="32"/>
          <w:szCs w:val="32"/>
        </w:rPr>
        <w:t>　　三、政府规章可以在罚款限额规定的范围内，根据过罚相当的原则，对非经营活动和经营活动中公民、法人或者其他组织违反行政管理秩序的行为设定不同幅度的罚款。</w:t>
      </w:r>
    </w:p>
    <w:p>
      <w:pPr>
        <w:pStyle w:val="Normal"/>
        <w:spacing w:lineRule="exact" w:line="589"/>
        <w:rPr>
          <w:rFonts w:ascii="仿宋_GB2312;仿宋" w:hAnsi="仿宋_GB2312;仿宋" w:eastAsia="仿宋_GB2312;仿宋" w:cs="仿宋_GB2312;仿宋" w:hint="eastAsia"/>
          <w:spacing w:val="-3"/>
          <w:sz w:val="32"/>
          <w:szCs w:val="32"/>
        </w:rPr>
      </w:pPr>
      <w:r>
        <w:rPr>
          <w:rFonts w:ascii="仿宋_GB2312;仿宋" w:hAnsi="仿宋_GB2312;仿宋" w:cs="仿宋_GB2312;仿宋" w:hint="eastAsia" w:eastAsia="仿宋_GB2312;仿宋"/>
          <w:spacing w:val="-3"/>
          <w:sz w:val="32"/>
          <w:szCs w:val="32"/>
        </w:rPr>
        <w:t>　　四、本规定自</w:t>
      </w:r>
      <w:r>
        <w:rPr>
          <w:rFonts w:eastAsia="仿宋_GB2312;仿宋" w:cs="仿宋_GB2312;仿宋" w:hint="eastAsia" w:ascii="仿宋_GB2312;仿宋" w:hAnsi="仿宋_GB2312;仿宋"/>
          <w:spacing w:val="-3"/>
          <w:sz w:val="32"/>
          <w:szCs w:val="32"/>
        </w:rPr>
        <w:t>1996</w:t>
      </w:r>
      <w:r>
        <w:rPr>
          <w:rFonts w:ascii="仿宋_GB2312;仿宋" w:hAnsi="仿宋_GB2312;仿宋" w:cs="仿宋_GB2312;仿宋" w:hint="eastAsia" w:eastAsia="仿宋_GB2312;仿宋"/>
          <w:spacing w:val="-3"/>
          <w:sz w:val="32"/>
          <w:szCs w:val="32"/>
        </w:rPr>
        <w:t>年</w:t>
      </w:r>
      <w:r>
        <w:rPr>
          <w:rFonts w:eastAsia="仿宋_GB2312;仿宋" w:cs="仿宋_GB2312;仿宋" w:hint="eastAsia" w:ascii="仿宋_GB2312;仿宋" w:hAnsi="仿宋_GB2312;仿宋"/>
          <w:spacing w:val="-3"/>
          <w:sz w:val="32"/>
          <w:szCs w:val="32"/>
        </w:rPr>
        <w:t>10</w:t>
      </w:r>
      <w:r>
        <w:rPr>
          <w:rFonts w:ascii="仿宋_GB2312;仿宋" w:hAnsi="仿宋_GB2312;仿宋" w:cs="仿宋_GB2312;仿宋" w:hint="eastAsia" w:eastAsia="仿宋_GB2312;仿宋"/>
          <w:spacing w:val="-3"/>
          <w:sz w:val="32"/>
          <w:szCs w:val="32"/>
        </w:rPr>
        <w:t>月</w:t>
      </w:r>
      <w:r>
        <w:rPr>
          <w:rFonts w:eastAsia="仿宋_GB2312;仿宋" w:cs="仿宋_GB2312;仿宋" w:hint="eastAsia" w:ascii="仿宋_GB2312;仿宋" w:hAnsi="仿宋_GB2312;仿宋"/>
          <w:spacing w:val="-3"/>
          <w:sz w:val="32"/>
          <w:szCs w:val="32"/>
        </w:rPr>
        <w:t>1</w:t>
      </w:r>
      <w:r>
        <w:rPr>
          <w:rFonts w:ascii="仿宋_GB2312;仿宋" w:hAnsi="仿宋_GB2312;仿宋" w:cs="仿宋_GB2312;仿宋" w:hint="eastAsia" w:eastAsia="仿宋_GB2312;仿宋"/>
          <w:spacing w:val="-3"/>
          <w:sz w:val="32"/>
          <w:szCs w:val="32"/>
        </w:rPr>
        <w:t>日起施行。</w:t>
      </w:r>
    </w:p>
    <w:sectPr>
      <w:footerReference w:type="even" r:id="rId2"/>
      <w:footerReference w:type="default" r:id="rId3"/>
      <w:type w:val="nextPage"/>
      <w:pgSz w:w="11906" w:h="16838"/>
      <w:pgMar w:left="1531" w:right="1531" w:gutter="0" w:header="0" w:top="1871" w:footer="1644" w:bottom="1871"/>
      <w:pgNumType w:fmt="decimal"/>
      <w:formProt w:val="false"/>
      <w:textDirection w:val="lrTb"/>
      <w:docGrid w:type="lines" w:linePitch="31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仿宋_GB2312">
    <w:altName w:val="仿宋"/>
    <w:charset w:val="86"/>
    <w:family w:val="modern"/>
    <w:pitch w:val="default"/>
  </w:font>
  <w:font w:name="楷体_GB2312">
    <w:altName w:val="楷体"/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114935" simplePos="0" relativeHeight="3" behindDoc="1" locked="0" layoutInCell="0" allowOverlap="1">
              <wp:simplePos x="0" y="0"/>
              <wp:positionH relativeFrom="margin">
                <wp:align>inside</wp:align>
              </wp:positionH>
              <wp:positionV relativeFrom="paragraph">
                <wp:posOffset>635</wp:posOffset>
              </wp:positionV>
              <wp:extent cx="5628005" cy="230505"/>
              <wp:effectExtent l="0" t="0" r="0" b="0"/>
              <wp:wrapNone/>
              <wp:docPr id="1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28005" cy="2305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napToGrid w:val="false"/>
                            <w:rPr/>
                          </w:pP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anchor="t" lIns="209550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43.15pt;height:18.15pt;mso-wrap-distance-left:0pt;mso-wrap-distance-right:9.05pt;mso-wrap-distance-top:0pt;mso-wrap-distance-bottom:0pt;margin-top:0pt;mso-position-vertical-relative:text;margin-left:-10pt;mso-position-horizontal:inside;mso-position-horizontal-relative:margin">
              <v:fill opacity="0f"/>
              <v:textbox inset="0.229166666666667in,0.000694444444444445in,0.000694444444444445in,0.000694444444444445in">
                <w:txbxContent>
                  <w:p>
                    <w:pPr>
                      <w:pStyle w:val="Normal"/>
                      <w:snapToGrid w:val="false"/>
                      <w:rPr/>
                    </w:pP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t>2</w:t>
                    </w: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114935" simplePos="0" relativeHeight="2" behindDoc="1" locked="0" layoutInCell="0" allowOverlap="1">
              <wp:simplePos x="0" y="0"/>
              <wp:positionH relativeFrom="margin">
                <wp:align>inside</wp:align>
              </wp:positionH>
              <wp:positionV relativeFrom="paragraph">
                <wp:posOffset>635</wp:posOffset>
              </wp:positionV>
              <wp:extent cx="5643880" cy="303530"/>
              <wp:effectExtent l="0" t="0" r="0" b="0"/>
              <wp:wrapNone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43880" cy="30353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napToGrid w:val="false"/>
                            <w:jc w:val="end"/>
                            <w:rPr/>
                          </w:pP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anchor="t" lIns="635" tIns="635" rIns="209550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44.4pt;height:23.9pt;mso-wrap-distance-left:0pt;mso-wrap-distance-right:9.05pt;mso-wrap-distance-top:0pt;mso-wrap-distance-bottom:0pt;margin-top:0pt;mso-position-vertical-relative:text;margin-left:0pt;mso-position-horizontal:inside;mso-position-horizontal-relative:margin">
              <v:fill opacity="0f"/>
              <v:textbox inset="0.000694444444444445in,0.000694444444444445in,0.229166666666667in,0.000694444444444445in">
                <w:txbxContent>
                  <w:p>
                    <w:pPr>
                      <w:pStyle w:val="Normal"/>
                      <w:snapToGrid w:val="false"/>
                      <w:jc w:val="end"/>
                      <w:rPr/>
                    </w:pP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50"/>
  <w:defaultTabStop w:val="420"/>
  <w:autoHyphenation w:val="true"/>
  <w:hyphenationZone w:val="0"/>
  <w:evenAndOddHeaders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2018-07-30T09:46:00Z</dcterms:created>
  <dc:creator>lenovo</dc:creator>
  <dc:description/>
  <dc:language>en-US</dc:language>
  <cp:lastModifiedBy>admin</cp:lastModifiedBy>
  <cp:lastPrinted>2022-04-11T16:45:00Z</cp:lastPrinted>
  <dcterms:modified xsi:type="dcterms:W3CDTF">2022-04-22T16:41:53Z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2052-10.8.0.5715</vt:lpwstr>
  </property>
</Properties>
</file>